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240"/>
        <w:jc w:val="center"/>
      </w:pPr>
      <w:r>
        <w:rPr>
          <w:rFonts w:ascii="Arial" w:cs="Arial" w:eastAsia="Arial" w:hAnsi="Arial"/>
          <w:b/>
          <w:bCs/>
          <w:color w:val="1F4E79"/>
          <w:sz w:val="52"/>
          <w:szCs w:val="52"/>
        </w:rPr>
        <w:t xml:space="preserve">ANCHOR THE COACH</w:t>
      </w:r>
    </w:p>
    <w:p>
      <w:pPr>
        <w:spacing w:after="240"/>
        <w:jc w:val="center"/>
      </w:pPr>
      <w:r>
        <w:rPr>
          <w:rFonts w:ascii="Arial" w:cs="Arial" w:eastAsia="Arial" w:hAnsi="Arial"/>
          <w:b/>
          <w:bCs/>
          <w:color w:val="2E75B6"/>
          <w:sz w:val="36"/>
          <w:szCs w:val="36"/>
        </w:rPr>
        <w:t xml:space="preserve">PARTNER LICENSING AGREEMENT</w:t>
      </w:r>
    </w:p>
    <w:p>
      <w:pPr>
        <w:spacing w:after="960"/>
        <w:jc w:val="center"/>
      </w:pPr>
      <w:r>
        <w:rPr>
          <w:rFonts w:ascii="Arial" w:cs="Arial" w:eastAsia="Arial" w:hAnsi="Arial"/>
          <w:i/>
          <w:iCs/>
          <w:color w:val="666666"/>
          <w:sz w:val="24"/>
          <w:szCs w:val="24"/>
        </w:rPr>
        <w:t xml:space="preserve">Version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BF2FA" w:val="clear"/>
            <w:tcMar>
              <w:top w:type="dxa" w:w="120"/>
              <w:left w:type="dxa" w:w="180"/>
              <w:bottom w:type="dxa" w:w="120"/>
              <w:right w:type="dxa" w:w="180"/>
            </w:tcMar>
          </w:tcPr>
          <w:p>
            <w:r>
              <w:rPr>
                <w:rFonts w:ascii="Arial" w:cs="Arial" w:eastAsia="Arial" w:hAnsi="Arial"/>
                <w:b/>
                <w:bCs/>
                <w:sz w:val="22"/>
                <w:szCs w:val="22"/>
              </w:rPr>
              <w:t xml:space="preserve">Licensor:</w:t>
            </w:r>
          </w:p>
        </w:tc>
        <w:tc>
          <w:tcPr>
            <w:tcW w:type="dxa" w:w="6960"/>
            <w:tcBorders>
              <w:top w:val="single" w:color="CCCCCC" w:sz="1"/>
              <w:left w:val="single" w:color="CCCCCC" w:sz="1"/>
              <w:bottom w:val="single" w:color="CCCCCC" w:sz="1"/>
              <w:right w:val="single" w:color="CCCCCC" w:sz="1"/>
            </w:tcBorders>
            <w:tcMar>
              <w:top w:type="dxa" w:w="120"/>
              <w:left w:type="dxa" w:w="180"/>
              <w:bottom w:type="dxa" w:w="120"/>
              <w:right w:type="dxa" w:w="180"/>
            </w:tcMar>
          </w:tcPr>
          <w:p>
            <w:r>
              <w:rPr>
                <w:rFonts w:ascii="Arial" w:cs="Arial" w:eastAsia="Arial" w:hAnsi="Arial"/>
                <w:sz w:val="22"/>
                <w:szCs w:val="22"/>
              </w:rPr>
              <w:t xml:space="preserve">EmpowerStrat LLC d/b/a Anchor the Coach, an Arkansas limited liability company</w:t>
            </w:r>
          </w:p>
        </w:tc>
      </w:tr>
      <w:tr>
        <w:tc>
          <w:tcPr>
            <w:tcW w:type="dxa" w:w="2400"/>
            <w:tcBorders>
              <w:top w:val="single" w:color="CCCCCC" w:sz="1"/>
              <w:left w:val="single" w:color="CCCCCC" w:sz="1"/>
              <w:bottom w:val="single" w:color="CCCCCC" w:sz="1"/>
              <w:right w:val="single" w:color="CCCCCC" w:sz="1"/>
            </w:tcBorders>
            <w:shd w:fill="EBF2FA" w:val="clear"/>
            <w:tcMar>
              <w:top w:type="dxa" w:w="120"/>
              <w:left w:type="dxa" w:w="180"/>
              <w:bottom w:type="dxa" w:w="120"/>
              <w:right w:type="dxa" w:w="180"/>
            </w:tcMar>
          </w:tcPr>
          <w:p>
            <w:r>
              <w:rPr>
                <w:rFonts w:ascii="Arial" w:cs="Arial" w:eastAsia="Arial" w:hAnsi="Arial"/>
                <w:b/>
                <w:bCs/>
                <w:sz w:val="22"/>
                <w:szCs w:val="22"/>
              </w:rPr>
              <w:t xml:space="preserve">Partner:</w:t>
            </w:r>
          </w:p>
        </w:tc>
        <w:tc>
          <w:tcPr>
            <w:tcW w:type="dxa" w:w="6960"/>
            <w:tcBorders>
              <w:top w:val="single" w:color="CCCCCC" w:sz="1"/>
              <w:left w:val="single" w:color="CCCCCC" w:sz="1"/>
              <w:bottom w:val="single" w:color="CCCCCC" w:sz="1"/>
              <w:right w:val="single" w:color="CCCCCC" w:sz="1"/>
            </w:tcBorders>
            <w:tcMar>
              <w:top w:type="dxa" w:w="120"/>
              <w:left w:type="dxa" w:w="180"/>
              <w:bottom w:type="dxa" w:w="120"/>
              <w:right w:type="dxa" w:w="180"/>
            </w:tcMar>
          </w:tcPr>
          <w:p>
            <w:r>
              <w:rPr>
                <w:rFonts w:ascii="Arial" w:cs="Arial" w:eastAsia="Arial" w:hAnsi="Arial"/>
                <w:i/>
                <w:iCs/>
                <w:color w:val="888888"/>
                <w:sz w:val="22"/>
                <w:szCs w:val="22"/>
              </w:rPr>
              <w:t xml:space="preserve">[PARTNER LEGAL ENTITY NAME], a [STATE] [entity type]</w:t>
            </w:r>
          </w:p>
        </w:tc>
      </w:tr>
      <w:tr>
        <w:tc>
          <w:tcPr>
            <w:tcW w:type="dxa" w:w="2400"/>
            <w:tcBorders>
              <w:top w:val="single" w:color="CCCCCC" w:sz="1"/>
              <w:left w:val="single" w:color="CCCCCC" w:sz="1"/>
              <w:bottom w:val="single" w:color="CCCCCC" w:sz="1"/>
              <w:right w:val="single" w:color="CCCCCC" w:sz="1"/>
            </w:tcBorders>
            <w:shd w:fill="EBF2FA" w:val="clear"/>
            <w:tcMar>
              <w:top w:type="dxa" w:w="120"/>
              <w:left w:type="dxa" w:w="180"/>
              <w:bottom w:type="dxa" w:w="120"/>
              <w:right w:type="dxa" w:w="180"/>
            </w:tcMar>
          </w:tcPr>
          <w:p>
            <w:r>
              <w:rPr>
                <w:rFonts w:ascii="Arial" w:cs="Arial" w:eastAsia="Arial" w:hAnsi="Arial"/>
                <w:b/>
                <w:bCs/>
                <w:sz w:val="22"/>
                <w:szCs w:val="22"/>
              </w:rPr>
              <w:t xml:space="preserve">Effective Date:</w:t>
            </w:r>
          </w:p>
        </w:tc>
        <w:tc>
          <w:tcPr>
            <w:tcW w:type="dxa" w:w="6960"/>
            <w:tcBorders>
              <w:top w:val="single" w:color="CCCCCC" w:sz="1"/>
              <w:left w:val="single" w:color="CCCCCC" w:sz="1"/>
              <w:bottom w:val="single" w:color="CCCCCC" w:sz="1"/>
              <w:right w:val="single" w:color="CCCCCC" w:sz="1"/>
            </w:tcBorders>
            <w:tcMar>
              <w:top w:type="dxa" w:w="120"/>
              <w:left w:type="dxa" w:w="180"/>
              <w:bottom w:type="dxa" w:w="120"/>
              <w:right w:type="dxa" w:w="180"/>
            </w:tcMar>
          </w:tcPr>
          <w:p>
            <w:r>
              <w:rPr>
                <w:rFonts w:ascii="Arial" w:cs="Arial" w:eastAsia="Arial" w:hAnsi="Arial"/>
                <w:i/>
                <w:iCs/>
                <w:color w:val="888888"/>
                <w:sz w:val="22"/>
                <w:szCs w:val="22"/>
              </w:rPr>
              <w:t xml:space="preserve">[DATE]</w:t>
            </w:r>
          </w:p>
        </w:tc>
      </w:tr>
      <w:tr>
        <w:tc>
          <w:tcPr>
            <w:tcW w:type="dxa" w:w="2400"/>
            <w:tcBorders>
              <w:top w:val="single" w:color="CCCCCC" w:sz="1"/>
              <w:left w:val="single" w:color="CCCCCC" w:sz="1"/>
              <w:bottom w:val="single" w:color="CCCCCC" w:sz="1"/>
              <w:right w:val="single" w:color="CCCCCC" w:sz="1"/>
            </w:tcBorders>
            <w:shd w:fill="EBF2FA" w:val="clear"/>
            <w:tcMar>
              <w:top w:type="dxa" w:w="120"/>
              <w:left w:type="dxa" w:w="180"/>
              <w:bottom w:type="dxa" w:w="120"/>
              <w:right w:type="dxa" w:w="180"/>
            </w:tcMar>
          </w:tcPr>
          <w:p>
            <w:r>
              <w:rPr>
                <w:rFonts w:ascii="Arial" w:cs="Arial" w:eastAsia="Arial" w:hAnsi="Arial"/>
                <w:b/>
                <w:bCs/>
                <w:sz w:val="22"/>
                <w:szCs w:val="22"/>
              </w:rPr>
              <w:t xml:space="preserve">Agreement Version:</w:t>
            </w:r>
          </w:p>
        </w:tc>
        <w:tc>
          <w:tcPr>
            <w:tcW w:type="dxa" w:w="6960"/>
            <w:tcBorders>
              <w:top w:val="single" w:color="CCCCCC" w:sz="1"/>
              <w:left w:val="single" w:color="CCCCCC" w:sz="1"/>
              <w:bottom w:val="single" w:color="CCCCCC" w:sz="1"/>
              <w:right w:val="single" w:color="CCCCCC" w:sz="1"/>
            </w:tcBorders>
            <w:tcMar>
              <w:top w:type="dxa" w:w="120"/>
              <w:left w:type="dxa" w:w="180"/>
              <w:bottom w:type="dxa" w:w="120"/>
              <w:right w:type="dxa" w:w="180"/>
            </w:tcMar>
          </w:tcPr>
          <w:p>
            <w:r>
              <w:rPr>
                <w:rFonts w:ascii="Arial" w:cs="Arial" w:eastAsia="Arial" w:hAnsi="Arial"/>
                <w:sz w:val="22"/>
                <w:szCs w:val="22"/>
              </w:rPr>
              <w:t xml:space="preserve">1.0</w:t>
            </w:r>
          </w:p>
        </w:tc>
      </w:tr>
    </w:tbl>
    <w:p>
      <w:r>
        <w:t xml:space="preserve"/>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6"/>
              <w:left w:val="single" w:color="C0392B" w:sz="16"/>
              <w:bottom w:val="single" w:color="C0392B" w:sz="6"/>
              <w:right w:val="single" w:color="C0392B" w:sz="6"/>
            </w:tcBorders>
            <w:shd w:fill="FDF2F2" w:val="clear"/>
            <w:tcMar>
              <w:top w:type="dxa" w:w="160"/>
              <w:left w:type="dxa" w:w="240"/>
              <w:bottom w:type="dxa" w:w="160"/>
              <w:right w:type="dxa" w:w="240"/>
            </w:tcMar>
          </w:tcPr>
          <w:p>
            <w:r>
              <w:rPr>
                <w:rFonts w:ascii="Arial" w:cs="Arial" w:eastAsia="Arial" w:hAnsi="Arial"/>
                <w:b/>
                <w:bCs/>
                <w:color w:val="C0392B"/>
                <w:sz w:val="22"/>
                <w:szCs w:val="22"/>
              </w:rPr>
              <w:t xml:space="preserve">IMPORTANT NOTICE</w:t>
            </w:r>
          </w:p>
          <w:p>
            <w:pPr>
              <w:spacing w:after="0"/>
            </w:pPr>
            <w:r>
              <w:rPr>
                <w:rFonts w:ascii="Arial" w:cs="Arial" w:eastAsia="Arial" w:hAnsi="Arial"/>
                <w:b/>
                <w:bCs/>
                <w:sz w:val="20"/>
                <w:szCs w:val="20"/>
              </w:rPr>
              <w:t xml:space="preserve">THIS AGREEMENT CONTAINS BINDING ARBITRATION AND CLASS ACTION WAIVER PROVISIONS IN SECTION J. PLEASE READ CAREFULLY.</w:t>
            </w:r>
          </w:p>
        </w:tc>
      </w:tr>
    </w:tbl>
    <w:p>
      <w:r>
        <w:br w:type="page"/>
      </w:r>
    </w:p>
    <w:p>
      <w:pPr>
        <w:pStyle w:val="Heading1"/>
      </w:pPr>
      <w:r>
        <w:rPr>
          <w:rFonts w:ascii="Arial" w:cs="Arial" w:eastAsia="Arial" w:hAnsi="Arial"/>
          <w:b/>
          <w:bCs/>
          <w:color w:val="1F4E79"/>
          <w:sz w:val="28"/>
          <w:szCs w:val="28"/>
        </w:rPr>
        <w:t xml:space="preserve">RECITALS</w:t>
      </w:r>
    </w:p>
    <w:p>
      <w:pPr>
        <w:spacing w:after="120"/>
      </w:pPr>
      <w:r>
        <w:rPr>
          <w:rFonts w:ascii="Arial" w:cs="Arial" w:eastAsia="Arial" w:hAnsi="Arial"/>
          <w:sz w:val="22"/>
          <w:szCs w:val="22"/>
        </w:rPr>
        <w:t xml:space="preserve">WHEREAS, EmpowerStrat LLC d/b/a Anchor the Coach ("Licensor") owns and operates an AI-powered voice coaching platform known as Anchor the Coach (the "Platform");</w:t>
      </w:r>
    </w:p>
    <w:p>
      <w:pPr>
        <w:spacing w:after="120"/>
      </w:pPr>
      <w:r>
        <w:rPr>
          <w:rFonts w:ascii="Arial" w:cs="Arial" w:eastAsia="Arial" w:hAnsi="Arial"/>
          <w:sz w:val="22"/>
          <w:szCs w:val="22"/>
        </w:rPr>
        <w:t xml:space="preserve">WHEREAS, Partner desires to license the Platform from Licensor for the purpose of offering AI voice coaching services to Partner's end clients under Partner's own brand;</w:t>
      </w:r>
    </w:p>
    <w:p>
      <w:pPr>
        <w:spacing w:after="120"/>
      </w:pPr>
      <w:r>
        <w:rPr>
          <w:rFonts w:ascii="Arial" w:cs="Arial" w:eastAsia="Arial" w:hAnsi="Arial"/>
          <w:sz w:val="22"/>
          <w:szCs w:val="22"/>
        </w:rPr>
        <w:t xml:space="preserve">WHEREAS, Licensor is willing to grant Partner a limited license to operate the Platform under the terms and conditions set forth herein;</w:t>
      </w:r>
    </w:p>
    <w:p>
      <w:pPr>
        <w:spacing w:after="120"/>
      </w:pPr>
      <w:r>
        <w:rPr>
          <w:rFonts w:ascii="Arial" w:cs="Arial" w:eastAsia="Arial" w:hAnsi="Arial"/>
          <w:sz w:val="22"/>
          <w:szCs w:val="22"/>
        </w:rPr>
        <w:t xml:space="preserve">NOW, THEREFORE, in consideration of the mutual covenants and agreements set forth herein, and for other good and valuable consideration, the receipt and sufficiency of which are hereby acknowledged, the parties agree as follows:</w:t>
      </w:r>
    </w:p>
    <w:p>
      <w:r>
        <w:t xml:space="preserve"/>
      </w:r>
    </w:p>
    <w:p>
      <w:pPr>
        <w:pStyle w:val="Heading1"/>
      </w:pPr>
      <w:r>
        <w:rPr>
          <w:rFonts w:ascii="Arial" w:cs="Arial" w:eastAsia="Arial" w:hAnsi="Arial"/>
          <w:b/>
          <w:bCs/>
          <w:color w:val="1F4E79"/>
          <w:sz w:val="28"/>
          <w:szCs w:val="28"/>
        </w:rPr>
        <w:t xml:space="preserve">SECTION A — DEFINITIONS</w:t>
      </w:r>
    </w:p>
    <w:p>
      <w:pPr>
        <w:spacing w:after="120"/>
      </w:pPr>
      <w:r>
        <w:rPr>
          <w:rFonts w:ascii="Arial" w:cs="Arial" w:eastAsia="Arial" w:hAnsi="Arial"/>
          <w:sz w:val="22"/>
          <w:szCs w:val="22"/>
        </w:rPr>
        <w:t xml:space="preserve">As used in this Agreement, the following terms have the meanings set forth below:</w:t>
      </w:r>
    </w:p>
    <w:p>
      <w:r>
        <w:t xml:space="preserve"/>
      </w:r>
    </w:p>
    <w:p>
      <w:pPr>
        <w:spacing w:after="120"/>
      </w:pPr>
      <w:r>
        <w:rPr>
          <w:rFonts w:ascii="Arial" w:cs="Arial" w:eastAsia="Arial" w:hAnsi="Arial"/>
          <w:sz w:val="22"/>
          <w:szCs w:val="22"/>
        </w:rPr>
        <w:t xml:space="preserve">"Authorized Users" means Partner's end clients who are granted access to use the Platform through Partner's licensed deployment.</w:t>
      </w:r>
    </w:p>
    <w:p>
      <w:pPr>
        <w:spacing w:after="120"/>
      </w:pPr>
      <w:r>
        <w:rPr>
          <w:rFonts w:ascii="Arial" w:cs="Arial" w:eastAsia="Arial" w:hAnsi="Arial"/>
          <w:sz w:val="22"/>
          <w:szCs w:val="22"/>
        </w:rPr>
        <w:t xml:space="preserve">"Coaching Disclaimer" means the disclosure, included in each Platform session and in Partner's client-facing materials, that the caller is interacting with an AI system and not a licensed human professional.</w:t>
      </w:r>
    </w:p>
    <w:p>
      <w:pPr>
        <w:spacing w:after="120"/>
      </w:pPr>
      <w:r>
        <w:rPr>
          <w:rFonts w:ascii="Arial" w:cs="Arial" w:eastAsia="Arial" w:hAnsi="Arial"/>
          <w:sz w:val="22"/>
          <w:szCs w:val="22"/>
        </w:rPr>
        <w:t xml:space="preserve">"Confidential Information" means all non-public information disclosed by either party that is designated as confidential or that reasonably should be understood to be confidential given the nature of the information and the circumstances of disclosure.</w:t>
      </w:r>
    </w:p>
    <w:p>
      <w:pPr>
        <w:spacing w:after="120"/>
      </w:pPr>
      <w:r>
        <w:rPr>
          <w:rFonts w:ascii="Arial" w:cs="Arial" w:eastAsia="Arial" w:hAnsi="Arial"/>
          <w:sz w:val="22"/>
          <w:szCs w:val="22"/>
        </w:rPr>
        <w:t xml:space="preserve">"Effective Date" means the date set forth on the cover page of this Agreement.</w:t>
      </w:r>
    </w:p>
    <w:p>
      <w:pPr>
        <w:spacing w:after="120"/>
      </w:pPr>
      <w:r>
        <w:rPr>
          <w:rFonts w:ascii="Arial" w:cs="Arial" w:eastAsia="Arial" w:hAnsi="Arial"/>
          <w:sz w:val="22"/>
          <w:szCs w:val="22"/>
        </w:rPr>
        <w:t xml:space="preserve">"Intellectual Property" means all patents, copyrights, trademarks, trade secrets, know-how, and other proprietary rights.</w:t>
      </w:r>
    </w:p>
    <w:p>
      <w:pPr>
        <w:spacing w:after="120"/>
      </w:pPr>
      <w:r>
        <w:rPr>
          <w:rFonts w:ascii="Arial" w:cs="Arial" w:eastAsia="Arial" w:hAnsi="Arial"/>
          <w:sz w:val="22"/>
          <w:szCs w:val="22"/>
        </w:rPr>
        <w:t xml:space="preserve">"Licensor Marks" means the trademarks, service marks, trade names, and logos of EmpowerStrat LLC d/b/a Anchor the Coach, including the name "Anchor the Coach."</w:t>
      </w:r>
    </w:p>
    <w:p>
      <w:pPr>
        <w:spacing w:after="120"/>
      </w:pPr>
      <w:r>
        <w:rPr>
          <w:rFonts w:ascii="Arial" w:cs="Arial" w:eastAsia="Arial" w:hAnsi="Arial"/>
          <w:sz w:val="22"/>
          <w:szCs w:val="22"/>
        </w:rPr>
        <w:t xml:space="preserve">"Minimum Resale Price" means the minimum price at which Partner may offer Platform-powered coaching services to Authorized Users, as set forth in Exhibit A.</w:t>
      </w:r>
    </w:p>
    <w:p>
      <w:pPr>
        <w:spacing w:after="120"/>
      </w:pPr>
      <w:r>
        <w:rPr>
          <w:rFonts w:ascii="Arial" w:cs="Arial" w:eastAsia="Arial" w:hAnsi="Arial"/>
          <w:sz w:val="22"/>
          <w:szCs w:val="22"/>
        </w:rPr>
        <w:t xml:space="preserve">"Partner Admin Page" means the web-based dashboard provided to Partner for managing Authorized Users, monitoring usage, and viewing billing status.</w:t>
      </w:r>
    </w:p>
    <w:p>
      <w:pPr>
        <w:spacing w:after="120"/>
      </w:pPr>
      <w:r>
        <w:rPr>
          <w:rFonts w:ascii="Arial" w:cs="Arial" w:eastAsia="Arial" w:hAnsi="Arial"/>
          <w:sz w:val="22"/>
          <w:szCs w:val="22"/>
        </w:rPr>
        <w:t xml:space="preserve">"Partner Marks" means the trademarks, service marks, trade names, and logos owned by Partner.</w:t>
      </w:r>
    </w:p>
    <w:p>
      <w:pPr>
        <w:spacing w:after="120"/>
      </w:pPr>
      <w:r>
        <w:rPr>
          <w:rFonts w:ascii="Arial" w:cs="Arial" w:eastAsia="Arial" w:hAnsi="Arial"/>
          <w:sz w:val="22"/>
          <w:szCs w:val="22"/>
        </w:rPr>
        <w:t xml:space="preserve">"Platform" means the Anchor the Coach AI-powered voice coaching software, infrastructure, AI frameworks, coaching methodology, and all associated technology operated by Licensor.</w:t>
      </w:r>
    </w:p>
    <w:p>
      <w:pPr>
        <w:spacing w:after="120"/>
      </w:pPr>
      <w:r>
        <w:rPr>
          <w:rFonts w:ascii="Arial" w:cs="Arial" w:eastAsia="Arial" w:hAnsi="Arial"/>
          <w:sz w:val="22"/>
          <w:szCs w:val="22"/>
        </w:rPr>
        <w:t xml:space="preserve">"Seat" means one licensed user position in Partner's account, corresponding to one Authorized User enrolled by Partner.</w:t>
      </w:r>
    </w:p>
    <w:p>
      <w:pPr>
        <w:spacing w:after="120"/>
      </w:pPr>
      <w:r>
        <w:rPr>
          <w:rFonts w:ascii="Arial" w:cs="Arial" w:eastAsia="Arial" w:hAnsi="Arial"/>
          <w:sz w:val="22"/>
          <w:szCs w:val="22"/>
        </w:rPr>
        <w:t xml:space="preserve">"Partner Tier" means the specific licensing tier (Starter, Pro, or Enterprise) selected by Partner as set forth in Exhibit A.</w:t>
      </w:r>
    </w:p>
    <w:p>
      <w:pPr>
        <w:spacing w:after="120"/>
      </w:pPr>
      <w:r>
        <w:rPr>
          <w:rFonts w:ascii="Arial" w:cs="Arial" w:eastAsia="Arial" w:hAnsi="Arial"/>
          <w:sz w:val="22"/>
          <w:szCs w:val="22"/>
        </w:rPr>
        <w:t xml:space="preserve">"Sub-Processors" means the third-party service providers used by Licensor in the operation of the Platform, including Vapi (AI voice infrastructure), Telnyx (telephony), ElevenLabs (voice synthesis), Anthropic (AI reasoning), Stripe (payment processing), Resend (email delivery), and Supabase (database).</w:t>
      </w:r>
    </w:p>
    <w:p>
      <w:r>
        <w:t xml:space="preserve"/>
      </w:r>
    </w:p>
    <w:p>
      <w:pPr>
        <w:pStyle w:val="Heading1"/>
      </w:pPr>
      <w:r>
        <w:rPr>
          <w:rFonts w:ascii="Arial" w:cs="Arial" w:eastAsia="Arial" w:hAnsi="Arial"/>
          <w:b/>
          <w:bCs/>
          <w:color w:val="1F4E79"/>
          <w:sz w:val="28"/>
          <w:szCs w:val="28"/>
        </w:rPr>
        <w:t xml:space="preserve">SECTION B — LICENSE GRANT</w:t>
      </w:r>
    </w:p>
    <w:p>
      <w:pPr>
        <w:pStyle w:val="Heading2"/>
      </w:pPr>
      <w:r>
        <w:rPr>
          <w:rFonts w:ascii="Arial" w:cs="Arial" w:eastAsia="Arial" w:hAnsi="Arial"/>
          <w:b/>
          <w:bCs/>
          <w:color w:val="2E75B6"/>
          <w:sz w:val="24"/>
          <w:szCs w:val="24"/>
        </w:rPr>
        <w:t xml:space="preserve">B.1 Grant of License</w:t>
      </w:r>
    </w:p>
    <w:p>
      <w:pPr>
        <w:spacing w:after="120"/>
      </w:pPr>
      <w:r>
        <w:rPr>
          <w:rFonts w:ascii="Arial" w:cs="Arial" w:eastAsia="Arial" w:hAnsi="Arial"/>
          <w:sz w:val="22"/>
          <w:szCs w:val="22"/>
        </w:rPr>
        <w:t xml:space="preserve">Subject to the terms and conditions of this Agreement, Licensor hereby grants Partner a limited, non-exclusive, non-transferable, revocable license to access and use the Platform solely to deliver AI voice coaching services to Authorized Users under Partner's own brand name (the "Permitted Use").</w:t>
      </w:r>
    </w:p>
    <w:p>
      <w:r>
        <w:t xml:space="preserve"/>
      </w:r>
    </w:p>
    <w:p>
      <w:pPr>
        <w:pStyle w:val="Heading2"/>
      </w:pPr>
      <w:r>
        <w:rPr>
          <w:rFonts w:ascii="Arial" w:cs="Arial" w:eastAsia="Arial" w:hAnsi="Arial"/>
          <w:b/>
          <w:bCs/>
          <w:color w:val="2E75B6"/>
          <w:sz w:val="24"/>
          <w:szCs w:val="24"/>
        </w:rPr>
        <w:t xml:space="preserve">B.2 Scope Limitations</w:t>
      </w:r>
    </w:p>
    <w:p>
      <w:pPr>
        <w:spacing w:after="120"/>
      </w:pPr>
      <w:r>
        <w:rPr>
          <w:rFonts w:ascii="Arial" w:cs="Arial" w:eastAsia="Arial" w:hAnsi="Arial"/>
          <w:sz w:val="22"/>
          <w:szCs w:val="22"/>
        </w:rPr>
        <w:t xml:space="preserve">The license granted in Section B.1 is subject to the following restrictions. Partner shall not:</w:t>
      </w:r>
    </w:p>
    <w:p>
      <w:pPr>
        <w:pStyle w:val="ListParagraph"/>
        <w:numPr>
          <w:ilvl w:val="0"/>
          <w:numId w:val="2"/>
        </w:numPr>
        <w:spacing w:after="80"/>
      </w:pPr>
      <w:r>
        <w:rPr>
          <w:rFonts w:ascii="Arial" w:cs="Arial" w:eastAsia="Arial" w:hAnsi="Arial"/>
          <w:sz w:val="22"/>
          <w:szCs w:val="22"/>
        </w:rPr>
        <w:t xml:space="preserve">Sublicense, resell, transfer, or assign the license itself or any rights under this Agreement to any third party;</w:t>
      </w:r>
    </w:p>
    <w:p>
      <w:pPr>
        <w:pStyle w:val="ListParagraph"/>
        <w:numPr>
          <w:ilvl w:val="0"/>
          <w:numId w:val="2"/>
        </w:numPr>
        <w:spacing w:after="80"/>
      </w:pPr>
      <w:r>
        <w:rPr>
          <w:rFonts w:ascii="Arial" w:cs="Arial" w:eastAsia="Arial" w:hAnsi="Arial"/>
          <w:sz w:val="22"/>
          <w:szCs w:val="22"/>
        </w:rPr>
        <w:t xml:space="preserve">Use the Platform for any purpose other than the Permitted Use;</w:t>
      </w:r>
    </w:p>
    <w:p>
      <w:pPr>
        <w:pStyle w:val="ListParagraph"/>
        <w:numPr>
          <w:ilvl w:val="0"/>
          <w:numId w:val="2"/>
        </w:numPr>
        <w:spacing w:after="80"/>
      </w:pPr>
      <w:r>
        <w:rPr>
          <w:rFonts w:ascii="Arial" w:cs="Arial" w:eastAsia="Arial" w:hAnsi="Arial"/>
          <w:sz w:val="22"/>
          <w:szCs w:val="22"/>
        </w:rPr>
        <w:t xml:space="preserve">Attempt to reverse engineer, decompile, disassemble, or otherwise derive the source code or underlying algorithms of the Platform;</w:t>
      </w:r>
    </w:p>
    <w:p>
      <w:pPr>
        <w:pStyle w:val="ListParagraph"/>
        <w:numPr>
          <w:ilvl w:val="0"/>
          <w:numId w:val="2"/>
        </w:numPr>
        <w:spacing w:after="80"/>
      </w:pPr>
      <w:r>
        <w:rPr>
          <w:rFonts w:ascii="Arial" w:cs="Arial" w:eastAsia="Arial" w:hAnsi="Arial"/>
          <w:sz w:val="22"/>
          <w:szCs w:val="22"/>
        </w:rPr>
        <w:t xml:space="preserve">Reproduce, copy, or create derivative works of any Platform component, including AI frameworks, coaching prompts, or session methodologies;</w:t>
      </w:r>
    </w:p>
    <w:p>
      <w:pPr>
        <w:pStyle w:val="ListParagraph"/>
        <w:numPr>
          <w:ilvl w:val="0"/>
          <w:numId w:val="2"/>
        </w:numPr>
        <w:spacing w:after="80"/>
      </w:pPr>
      <w:r>
        <w:rPr>
          <w:rFonts w:ascii="Arial" w:cs="Arial" w:eastAsia="Arial" w:hAnsi="Arial"/>
          <w:sz w:val="22"/>
          <w:szCs w:val="22"/>
        </w:rPr>
        <w:t xml:space="preserve">Remove, alter, or obscure any proprietary notices, disclaimers, or attributions within the Platform;</w:t>
      </w:r>
    </w:p>
    <w:p>
      <w:pPr>
        <w:pStyle w:val="ListParagraph"/>
        <w:numPr>
          <w:ilvl w:val="0"/>
          <w:numId w:val="2"/>
        </w:numPr>
        <w:spacing w:after="80"/>
      </w:pPr>
      <w:r>
        <w:rPr>
          <w:rFonts w:ascii="Arial" w:cs="Arial" w:eastAsia="Arial" w:hAnsi="Arial"/>
          <w:sz w:val="22"/>
          <w:szCs w:val="22"/>
        </w:rPr>
        <w:t xml:space="preserve">Access or use the Platform in a manner that exceeds the Seat count or usage limits set forth in Exhibit A;</w:t>
      </w:r>
    </w:p>
    <w:p>
      <w:pPr>
        <w:pStyle w:val="ListParagraph"/>
        <w:numPr>
          <w:ilvl w:val="0"/>
          <w:numId w:val="2"/>
        </w:numPr>
        <w:spacing w:after="80"/>
      </w:pPr>
      <w:r>
        <w:rPr>
          <w:rFonts w:ascii="Arial" w:cs="Arial" w:eastAsia="Arial" w:hAnsi="Arial"/>
          <w:sz w:val="22"/>
          <w:szCs w:val="22"/>
        </w:rPr>
        <w:t xml:space="preserve">Use the Platform to compete with Licensor by building or operating a competing AI voice coaching platform;</w:t>
      </w:r>
    </w:p>
    <w:p>
      <w:pPr>
        <w:pStyle w:val="ListParagraph"/>
        <w:numPr>
          <w:ilvl w:val="0"/>
          <w:numId w:val="2"/>
        </w:numPr>
        <w:spacing w:after="80"/>
      </w:pPr>
      <w:r>
        <w:rPr>
          <w:rFonts w:ascii="Arial" w:cs="Arial" w:eastAsia="Arial" w:hAnsi="Arial"/>
          <w:sz w:val="22"/>
          <w:szCs w:val="22"/>
        </w:rPr>
        <w:t xml:space="preserve">Represent to Authorized Users or any third party that Partner owns, developed, or created the Platform or its underlying technology.</w:t>
      </w:r>
    </w:p>
    <w:p>
      <w:r>
        <w:t xml:space="preserve"/>
      </w:r>
    </w:p>
    <w:p>
      <w:pPr>
        <w:pStyle w:val="Heading2"/>
      </w:pPr>
      <w:r>
        <w:rPr>
          <w:rFonts w:ascii="Arial" w:cs="Arial" w:eastAsia="Arial" w:hAnsi="Arial"/>
          <w:b/>
          <w:bCs/>
          <w:color w:val="2E75B6"/>
          <w:sz w:val="24"/>
          <w:szCs w:val="24"/>
        </w:rPr>
        <w:t xml:space="preserve">B.3 Permitted Resale</w:t>
      </w:r>
    </w:p>
    <w:p>
      <w:pPr>
        <w:spacing w:after="120"/>
      </w:pPr>
      <w:r>
        <w:rPr>
          <w:rFonts w:ascii="Arial" w:cs="Arial" w:eastAsia="Arial" w:hAnsi="Arial"/>
          <w:sz w:val="22"/>
          <w:szCs w:val="22"/>
        </w:rPr>
        <w:t xml:space="preserve">Notwithstanding Section B.2, Partner MAY resell coaching services powered by the Platform to Authorized Users as part of Partner's own service offering, subject to the Minimum Resale Price set forth in Exhibit A and all other terms of this Agreement.</w:t>
      </w:r>
    </w:p>
    <w:p>
      <w:r>
        <w:t xml:space="preserve"/>
      </w:r>
    </w:p>
    <w:p>
      <w:pPr>
        <w:pStyle w:val="Heading2"/>
      </w:pPr>
      <w:r>
        <w:rPr>
          <w:rFonts w:ascii="Arial" w:cs="Arial" w:eastAsia="Arial" w:hAnsi="Arial"/>
          <w:b/>
          <w:bCs/>
          <w:color w:val="2E75B6"/>
          <w:sz w:val="24"/>
          <w:szCs w:val="24"/>
        </w:rPr>
        <w:t xml:space="preserve">B.4 No Implied Licenses</w:t>
      </w:r>
    </w:p>
    <w:p>
      <w:pPr>
        <w:spacing w:after="120"/>
      </w:pPr>
      <w:r>
        <w:rPr>
          <w:rFonts w:ascii="Arial" w:cs="Arial" w:eastAsia="Arial" w:hAnsi="Arial"/>
          <w:sz w:val="22"/>
          <w:szCs w:val="22"/>
        </w:rPr>
        <w:t xml:space="preserve">Except as expressly stated in this Agreement, no other license, right, or interest in the Platform or Licensor's Intellectual Property is granted to Partner.</w:t>
      </w:r>
    </w:p>
    <w:p>
      <w:r>
        <w:t xml:space="preserve"/>
      </w:r>
    </w:p>
    <w:p>
      <w:pPr>
        <w:pStyle w:val="Heading1"/>
      </w:pPr>
      <w:r>
        <w:rPr>
          <w:rFonts w:ascii="Arial" w:cs="Arial" w:eastAsia="Arial" w:hAnsi="Arial"/>
          <w:b/>
          <w:bCs/>
          <w:color w:val="1F4E79"/>
          <w:sz w:val="28"/>
          <w:szCs w:val="28"/>
        </w:rPr>
        <w:t xml:space="preserve">SECTION C — FINANCIAL TERMS</w:t>
      </w:r>
    </w:p>
    <w:p>
      <w:pPr>
        <w:pStyle w:val="Heading2"/>
      </w:pPr>
      <w:r>
        <w:rPr>
          <w:rFonts w:ascii="Arial" w:cs="Arial" w:eastAsia="Arial" w:hAnsi="Arial"/>
          <w:b/>
          <w:bCs/>
          <w:color w:val="2E75B6"/>
          <w:sz w:val="24"/>
          <w:szCs w:val="24"/>
        </w:rPr>
        <w:t xml:space="preserve">C.1 Fees</w:t>
      </w:r>
    </w:p>
    <w:p>
      <w:pPr>
        <w:spacing w:after="120"/>
      </w:pPr>
      <w:r>
        <w:rPr>
          <w:rFonts w:ascii="Arial" w:cs="Arial" w:eastAsia="Arial" w:hAnsi="Arial"/>
          <w:sz w:val="22"/>
          <w:szCs w:val="22"/>
        </w:rPr>
        <w:t xml:space="preserve">Partner agrees to pay Licensor the following fees as set forth in Exhibit A for Partner's selected tier:</w:t>
      </w:r>
    </w:p>
    <w:p>
      <w:r>
        <w:t xml:space="preserve"/>
      </w:r>
    </w:p>
    <w:p>
      <w:pPr>
        <w:spacing w:after="120"/>
      </w:pPr>
      <w:r>
        <w:rPr>
          <w:rFonts w:ascii="Arial" w:cs="Arial" w:eastAsia="Arial" w:hAnsi="Arial"/>
          <w:sz w:val="22"/>
          <w:szCs w:val="22"/>
        </w:rPr>
        <w:t xml:space="preserve">(a) Setup Fee. A one-time, non-refundable setup fee of One Thousand Four Hundred Ninety-Nine Dollars ($1,499.00), due and payable before onboarding begins.</w:t>
      </w:r>
    </w:p>
    <w:p>
      <w:pPr>
        <w:spacing w:after="120"/>
      </w:pPr>
      <w:r>
        <w:rPr>
          <w:rFonts w:ascii="Arial" w:cs="Arial" w:eastAsia="Arial" w:hAnsi="Arial"/>
          <w:sz w:val="22"/>
          <w:szCs w:val="22"/>
        </w:rPr>
        <w:t xml:space="preserve">(b) Monthly Platform Fee. A recurring monthly platform fee as specified in Exhibit A for Partner's tier, billed in advance at the beginning of each billing cycle.</w:t>
      </w:r>
    </w:p>
    <w:p>
      <w:pPr>
        <w:spacing w:after="120"/>
      </w:pPr>
      <w:r>
        <w:rPr>
          <w:rFonts w:ascii="Arial" w:cs="Arial" w:eastAsia="Arial" w:hAnsi="Arial"/>
          <w:sz w:val="22"/>
          <w:szCs w:val="22"/>
        </w:rPr>
        <w:t xml:space="preserve">(c) Per-User Fee. A monthly per-Seat fee billed based on Partner's actual active Seat count at the end of each billing cycle, as specified in Exhibit A.</w:t>
      </w:r>
    </w:p>
    <w:p>
      <w:r>
        <w:t xml:space="preserve"/>
      </w:r>
    </w:p>
    <w:p>
      <w:pPr>
        <w:pStyle w:val="Heading2"/>
      </w:pPr>
      <w:r>
        <w:rPr>
          <w:rFonts w:ascii="Arial" w:cs="Arial" w:eastAsia="Arial" w:hAnsi="Arial"/>
          <w:b/>
          <w:bCs/>
          <w:color w:val="2E75B6"/>
          <w:sz w:val="24"/>
          <w:szCs w:val="24"/>
        </w:rPr>
        <w:t xml:space="preserve">C.2 Billing</w:t>
      </w:r>
    </w:p>
    <w:p>
      <w:pPr>
        <w:spacing w:after="120"/>
      </w:pPr>
      <w:r>
        <w:rPr>
          <w:rFonts w:ascii="Arial" w:cs="Arial" w:eastAsia="Arial" w:hAnsi="Arial"/>
          <w:sz w:val="22"/>
          <w:szCs w:val="22"/>
        </w:rPr>
        <w:t xml:space="preserve">All fees are billed via Stripe to the payment method on file for Partner's Stripe customer account. Partner authorizes Licensor to charge fees automatically on the applicable billing date. Failure to maintain a valid payment method on file constitutes a material breach of this Agreement.</w:t>
      </w:r>
    </w:p>
    <w:p>
      <w:r>
        <w:t xml:space="preserve"/>
      </w:r>
    </w:p>
    <w:p>
      <w:pPr>
        <w:pStyle w:val="Heading2"/>
      </w:pPr>
      <w:r>
        <w:rPr>
          <w:rFonts w:ascii="Arial" w:cs="Arial" w:eastAsia="Arial" w:hAnsi="Arial"/>
          <w:b/>
          <w:bCs/>
          <w:color w:val="2E75B6"/>
          <w:sz w:val="24"/>
          <w:szCs w:val="24"/>
        </w:rPr>
        <w:t xml:space="preserve">C.3 Taxes</w:t>
      </w:r>
    </w:p>
    <w:p>
      <w:pPr>
        <w:spacing w:after="120"/>
      </w:pPr>
      <w:r>
        <w:rPr>
          <w:rFonts w:ascii="Arial" w:cs="Arial" w:eastAsia="Arial" w:hAnsi="Arial"/>
          <w:sz w:val="22"/>
          <w:szCs w:val="22"/>
        </w:rPr>
        <w:t xml:space="preserve">All fees set forth in this Agreement and in Exhibit A are exclusive of applicable sales tax. Sales tax is calculated automatically by Stripe based on Partner's business location and applicable tax law.</w:t>
      </w:r>
    </w:p>
    <w:p>
      <w:r>
        <w:t xml:space="preserve"/>
      </w:r>
    </w:p>
    <w:p>
      <w:pPr>
        <w:pStyle w:val="Heading2"/>
      </w:pPr>
      <w:r>
        <w:rPr>
          <w:rFonts w:ascii="Arial" w:cs="Arial" w:eastAsia="Arial" w:hAnsi="Arial"/>
          <w:b/>
          <w:bCs/>
          <w:color w:val="2E75B6"/>
          <w:sz w:val="24"/>
          <w:szCs w:val="24"/>
        </w:rPr>
        <w:t xml:space="preserve">C.4 Stripe Processing Fees</w:t>
      </w:r>
    </w:p>
    <w:p>
      <w:pPr>
        <w:spacing w:after="120"/>
      </w:pPr>
      <w:r>
        <w:rPr>
          <w:rFonts w:ascii="Arial" w:cs="Arial" w:eastAsia="Arial" w:hAnsi="Arial"/>
          <w:sz w:val="22"/>
          <w:szCs w:val="22"/>
        </w:rPr>
        <w:t xml:space="preserve">All pricing set forth in Exhibit A has been grossed up to absorb Stripe's payment processing fees (currently 2.9% + $0.30 per transaction). No additional processing fees will be charged to Partner.</w:t>
      </w:r>
    </w:p>
    <w:p>
      <w:r>
        <w:t xml:space="preserve"/>
      </w:r>
    </w:p>
    <w:p>
      <w:pPr>
        <w:pStyle w:val="Heading2"/>
      </w:pPr>
      <w:r>
        <w:rPr>
          <w:rFonts w:ascii="Arial" w:cs="Arial" w:eastAsia="Arial" w:hAnsi="Arial"/>
          <w:b/>
          <w:bCs/>
          <w:color w:val="2E75B6"/>
          <w:sz w:val="24"/>
          <w:szCs w:val="24"/>
        </w:rPr>
        <w:t xml:space="preserve">C.5 Late Payment</w:t>
      </w:r>
    </w:p>
    <w:p>
      <w:pPr>
        <w:spacing w:after="120"/>
      </w:pPr>
      <w:r>
        <w:rPr>
          <w:rFonts w:ascii="Arial" w:cs="Arial" w:eastAsia="Arial" w:hAnsi="Arial"/>
          <w:sz w:val="22"/>
          <w:szCs w:val="22"/>
        </w:rPr>
        <w:t xml:space="preserve">If any fee is not paid when due, Licensor will provide Partner written notice of the delinquency. If Partner does not cure the delinquency within seven (7) days of such notice, Licensor may suspend Partner's access to the Platform until payment is received in full. Continued non-payment beyond thirty (30) days is grounds for termination for cause under Section H.3.</w:t>
      </w:r>
    </w:p>
    <w:p>
      <w:r>
        <w:t xml:space="preserve"/>
      </w:r>
    </w:p>
    <w:p>
      <w:pPr>
        <w:pStyle w:val="Heading2"/>
      </w:pPr>
      <w:r>
        <w:rPr>
          <w:rFonts w:ascii="Arial" w:cs="Arial" w:eastAsia="Arial" w:hAnsi="Arial"/>
          <w:b/>
          <w:bCs/>
          <w:color w:val="2E75B6"/>
          <w:sz w:val="24"/>
          <w:szCs w:val="24"/>
        </w:rPr>
        <w:t xml:space="preserve">C.6 Minimum Resale Price</w:t>
      </w:r>
    </w:p>
    <w:p>
      <w:pPr>
        <w:spacing w:after="120"/>
      </w:pPr>
      <w:r>
        <w:rPr>
          <w:rFonts w:ascii="Arial" w:cs="Arial" w:eastAsia="Arial" w:hAnsi="Arial"/>
          <w:sz w:val="22"/>
          <w:szCs w:val="22"/>
        </w:rPr>
        <w:t xml:space="preserve">Partner is contractually required to charge its Authorized Users no less than the Minimum Resale Price applicable to Partner's tier, as set forth in Exhibit A. Violation of the Minimum Resale Price obligation is grounds for immediate termination for cause under Section H.3.</w:t>
      </w:r>
    </w:p>
    <w:p>
      <w:r>
        <w:t xml:space="preserve"/>
      </w:r>
    </w:p>
    <w:p>
      <w:pPr>
        <w:pStyle w:val="Heading1"/>
      </w:pPr>
      <w:r>
        <w:rPr>
          <w:rFonts w:ascii="Arial" w:cs="Arial" w:eastAsia="Arial" w:hAnsi="Arial"/>
          <w:b/>
          <w:bCs/>
          <w:color w:val="1F4E79"/>
          <w:sz w:val="28"/>
          <w:szCs w:val="28"/>
        </w:rPr>
        <w:t xml:space="preserve">SECTION D — PARTNER OBLIGATIONS</w:t>
      </w:r>
    </w:p>
    <w:p>
      <w:pPr>
        <w:pStyle w:val="Heading2"/>
      </w:pPr>
      <w:r>
        <w:rPr>
          <w:rFonts w:ascii="Arial" w:cs="Arial" w:eastAsia="Arial" w:hAnsi="Arial"/>
          <w:b/>
          <w:bCs/>
          <w:color w:val="2E75B6"/>
          <w:sz w:val="24"/>
          <w:szCs w:val="24"/>
        </w:rPr>
        <w:t xml:space="preserve">D.1 Business Entity Requirement</w:t>
      </w:r>
    </w:p>
    <w:p>
      <w:pPr>
        <w:spacing w:after="120"/>
      </w:pPr>
      <w:r>
        <w:rPr>
          <w:rFonts w:ascii="Arial" w:cs="Arial" w:eastAsia="Arial" w:hAnsi="Arial"/>
          <w:sz w:val="22"/>
          <w:szCs w:val="22"/>
        </w:rPr>
        <w:t xml:space="preserve">Partner represents and warrants that Partner is, and will remain throughout the Term, a duly organized and validly existing business entity (LLC or corporation) in good standing under the laws of its state of formation, with a valid Employer Identification Number (EIN) on file with the IRS.</w:t>
      </w:r>
    </w:p>
    <w:p>
      <w:r>
        <w:t xml:space="preserve"/>
      </w:r>
    </w:p>
    <w:p>
      <w:pPr>
        <w:pStyle w:val="Heading2"/>
      </w:pPr>
      <w:r>
        <w:rPr>
          <w:rFonts w:ascii="Arial" w:cs="Arial" w:eastAsia="Arial" w:hAnsi="Arial"/>
          <w:b/>
          <w:bCs/>
          <w:color w:val="2E75B6"/>
          <w:sz w:val="24"/>
          <w:szCs w:val="24"/>
        </w:rPr>
        <w:t xml:space="preserve">D.2 Telnyx Brand Registration</w:t>
      </w:r>
    </w:p>
    <w:p>
      <w:pPr>
        <w:spacing w:after="120"/>
      </w:pPr>
      <w:r>
        <w:rPr>
          <w:rFonts w:ascii="Arial" w:cs="Arial" w:eastAsia="Arial" w:hAnsi="Arial"/>
          <w:sz w:val="22"/>
          <w:szCs w:val="22"/>
        </w:rPr>
        <w:t xml:space="preserve">Partner shall register its own brand with Telnyx under Partner's legal entity name and EIN for the purpose of SMS messaging compliance. Licensor will provide guidance on this process during onboarding.</w:t>
      </w:r>
    </w:p>
    <w:p>
      <w:r>
        <w:t xml:space="preserve"/>
      </w:r>
    </w:p>
    <w:p>
      <w:pPr>
        <w:pStyle w:val="Heading2"/>
      </w:pPr>
      <w:r>
        <w:rPr>
          <w:rFonts w:ascii="Arial" w:cs="Arial" w:eastAsia="Arial" w:hAnsi="Arial"/>
          <w:b/>
          <w:bCs/>
          <w:color w:val="2E75B6"/>
          <w:sz w:val="24"/>
          <w:szCs w:val="24"/>
        </w:rPr>
        <w:t xml:space="preserve">D.3 Stripe Account</w:t>
      </w:r>
    </w:p>
    <w:p>
      <w:pPr>
        <w:spacing w:after="120"/>
      </w:pPr>
      <w:r>
        <w:rPr>
          <w:rFonts w:ascii="Arial" w:cs="Arial" w:eastAsia="Arial" w:hAnsi="Arial"/>
          <w:sz w:val="22"/>
          <w:szCs w:val="22"/>
        </w:rPr>
        <w:t xml:space="preserve">Partner shall maintain its own active Stripe account for billing its Authorized Users. Licensor does not handle payment collection between Partner and its Authorized Users.</w:t>
      </w:r>
    </w:p>
    <w:p>
      <w:r>
        <w:t xml:space="preserve"/>
      </w:r>
    </w:p>
    <w:p>
      <w:pPr>
        <w:pStyle w:val="Heading2"/>
      </w:pPr>
      <w:r>
        <w:rPr>
          <w:rFonts w:ascii="Arial" w:cs="Arial" w:eastAsia="Arial" w:hAnsi="Arial"/>
          <w:b/>
          <w:bCs/>
          <w:color w:val="2E75B6"/>
          <w:sz w:val="24"/>
          <w:szCs w:val="24"/>
        </w:rPr>
        <w:t xml:space="preserve">D.4 Accurate Seat Reporting</w:t>
      </w:r>
    </w:p>
    <w:p>
      <w:pPr>
        <w:spacing w:after="120"/>
      </w:pPr>
      <w:r>
        <w:rPr>
          <w:rFonts w:ascii="Arial" w:cs="Arial" w:eastAsia="Arial" w:hAnsi="Arial"/>
          <w:sz w:val="22"/>
          <w:szCs w:val="22"/>
        </w:rPr>
        <w:t xml:space="preserve">Partner's active Seat count is tracked automatically by Licensor's systems. Partner must not attempt to circumvent seat tracking mechanisms or misrepresent the number of active Authorized Users.</w:t>
      </w:r>
    </w:p>
    <w:p>
      <w:r>
        <w:t xml:space="preserve"/>
      </w:r>
    </w:p>
    <w:p>
      <w:pPr>
        <w:pStyle w:val="Heading2"/>
      </w:pPr>
      <w:r>
        <w:rPr>
          <w:rFonts w:ascii="Arial" w:cs="Arial" w:eastAsia="Arial" w:hAnsi="Arial"/>
          <w:b/>
          <w:bCs/>
          <w:color w:val="2E75B6"/>
          <w:sz w:val="24"/>
          <w:szCs w:val="24"/>
        </w:rPr>
        <w:t xml:space="preserve">D.5 Compliance</w:t>
      </w:r>
    </w:p>
    <w:p>
      <w:pPr>
        <w:spacing w:after="120"/>
      </w:pPr>
      <w:r>
        <w:rPr>
          <w:rFonts w:ascii="Arial" w:cs="Arial" w:eastAsia="Arial" w:hAnsi="Arial"/>
          <w:sz w:val="22"/>
          <w:szCs w:val="22"/>
        </w:rPr>
        <w:t xml:space="preserve">Partner is solely responsible for ensuring its use of the Platform complies with all applicable laws and regulations in the jurisdictions where Partner operates, including but not limited to:</w:t>
      </w:r>
    </w:p>
    <w:p>
      <w:pPr>
        <w:pStyle w:val="ListParagraph"/>
        <w:numPr>
          <w:ilvl w:val="0"/>
          <w:numId w:val="2"/>
        </w:numPr>
        <w:spacing w:after="80"/>
      </w:pPr>
      <w:r>
        <w:rPr>
          <w:rFonts w:ascii="Arial" w:cs="Arial" w:eastAsia="Arial" w:hAnsi="Arial"/>
          <w:sz w:val="22"/>
          <w:szCs w:val="22"/>
        </w:rPr>
        <w:t xml:space="preserve">The Telephone Consumer Protection Act (TCPA) and applicable state equivalents — Partner must obtain legally sufficient consent from each Authorized User before initiating any call or text message;</w:t>
      </w:r>
    </w:p>
    <w:p>
      <w:pPr>
        <w:pStyle w:val="ListParagraph"/>
        <w:numPr>
          <w:ilvl w:val="0"/>
          <w:numId w:val="2"/>
        </w:numPr>
        <w:spacing w:after="80"/>
      </w:pPr>
      <w:r>
        <w:rPr>
          <w:rFonts w:ascii="Arial" w:cs="Arial" w:eastAsia="Arial" w:hAnsi="Arial"/>
          <w:sz w:val="22"/>
          <w:szCs w:val="22"/>
        </w:rPr>
        <w:t xml:space="preserve">AI disclosure requirements — Partner must disclose to Authorized Users that they are interacting with an AI system. The Platform provides this disclosure at the start of each session, but Partner must also include it in its own client-facing materials;</w:t>
      </w:r>
    </w:p>
    <w:p>
      <w:pPr>
        <w:pStyle w:val="ListParagraph"/>
        <w:numPr>
          <w:ilvl w:val="0"/>
          <w:numId w:val="2"/>
        </w:numPr>
        <w:spacing w:after="80"/>
      </w:pPr>
      <w:r>
        <w:rPr>
          <w:rFonts w:ascii="Arial" w:cs="Arial" w:eastAsia="Arial" w:hAnsi="Arial"/>
          <w:sz w:val="22"/>
          <w:szCs w:val="22"/>
        </w:rPr>
        <w:t xml:space="preserve">Call recording consent laws — in two-party consent jurisdictions (including California, Florida, and Illinois), Partner must obtain explicit consent to recording before a session begins;</w:t>
      </w:r>
    </w:p>
    <w:p>
      <w:pPr>
        <w:pStyle w:val="ListParagraph"/>
        <w:numPr>
          <w:ilvl w:val="0"/>
          <w:numId w:val="2"/>
        </w:numPr>
        <w:spacing w:after="80"/>
      </w:pPr>
      <w:r>
        <w:rPr>
          <w:rFonts w:ascii="Arial" w:cs="Arial" w:eastAsia="Arial" w:hAnsi="Arial"/>
          <w:sz w:val="22"/>
          <w:szCs w:val="22"/>
        </w:rPr>
        <w:t xml:space="preserve">Mental health service restrictions — Partner must not market or represent the Platform as a mental health service, therapy, or any form of licensed professional counseling;</w:t>
      </w:r>
    </w:p>
    <w:p>
      <w:pPr>
        <w:pStyle w:val="ListParagraph"/>
        <w:numPr>
          <w:ilvl w:val="0"/>
          <w:numId w:val="2"/>
        </w:numPr>
        <w:spacing w:after="80"/>
      </w:pPr>
      <w:r>
        <w:rPr>
          <w:rFonts w:ascii="Arial" w:cs="Arial" w:eastAsia="Arial" w:hAnsi="Arial"/>
          <w:sz w:val="22"/>
          <w:szCs w:val="22"/>
        </w:rPr>
        <w:t xml:space="preserve">Illinois HB 1806 and equivalent state AI governance laws — Partner is responsible for monitoring and complying with state-level AI transparency and disclosure obligations applicable to Partner's clients.</w:t>
      </w:r>
    </w:p>
    <w:p>
      <w:r>
        <w:t xml:space="preserve"/>
      </w:r>
    </w:p>
    <w:p>
      <w:pPr>
        <w:pStyle w:val="Heading2"/>
      </w:pPr>
      <w:r>
        <w:rPr>
          <w:rFonts w:ascii="Arial" w:cs="Arial" w:eastAsia="Arial" w:hAnsi="Arial"/>
          <w:b/>
          <w:bCs/>
          <w:color w:val="2E75B6"/>
          <w:sz w:val="24"/>
          <w:szCs w:val="24"/>
        </w:rPr>
        <w:t xml:space="preserve">D.6 Client Disclosure Requirements</w:t>
      </w:r>
    </w:p>
    <w:p>
      <w:pPr>
        <w:spacing w:after="120"/>
      </w:pPr>
      <w:r>
        <w:rPr>
          <w:rFonts w:ascii="Arial" w:cs="Arial" w:eastAsia="Arial" w:hAnsi="Arial"/>
          <w:sz w:val="22"/>
          <w:szCs w:val="22"/>
        </w:rPr>
        <w:t xml:space="preserve">Prior to any Authorized User's first session, Partner must provide each Authorized User with a written disclosure covering: (i) the AI nature of the coaching service; (ii) that sessions are recorded and transcribed; (iii) that coaching is not therapy, counseling, or medical advice; and (iv) crisis resources (including the 988 Suicide &amp; Crisis Lifeline).</w:t>
      </w:r>
    </w:p>
    <w:p>
      <w:r>
        <w:t xml:space="preserve"/>
      </w:r>
    </w:p>
    <w:p>
      <w:pPr>
        <w:pStyle w:val="Heading2"/>
      </w:pPr>
      <w:r>
        <w:rPr>
          <w:rFonts w:ascii="Arial" w:cs="Arial" w:eastAsia="Arial" w:hAnsi="Arial"/>
          <w:b/>
          <w:bCs/>
          <w:color w:val="2E75B6"/>
          <w:sz w:val="24"/>
          <w:szCs w:val="24"/>
        </w:rPr>
        <w:t xml:space="preserve">D.7 No Misrepresentation</w:t>
      </w:r>
    </w:p>
    <w:p>
      <w:pPr>
        <w:spacing w:after="120"/>
      </w:pPr>
      <w:r>
        <w:rPr>
          <w:rFonts w:ascii="Arial" w:cs="Arial" w:eastAsia="Arial" w:hAnsi="Arial"/>
          <w:sz w:val="22"/>
          <w:szCs w:val="22"/>
        </w:rPr>
        <w:t xml:space="preserve">Partner shall not misrepresent the Platform's capabilities to Authorized Users or any third party, including making claims that the Platform can guarantee specific career, professional, or personal outcomes.</w:t>
      </w:r>
    </w:p>
    <w:p>
      <w:r>
        <w:t xml:space="preserve"/>
      </w:r>
    </w:p>
    <w:p>
      <w:pPr>
        <w:pStyle w:val="Heading1"/>
      </w:pPr>
      <w:r>
        <w:rPr>
          <w:rFonts w:ascii="Arial" w:cs="Arial" w:eastAsia="Arial" w:hAnsi="Arial"/>
          <w:b/>
          <w:bCs/>
          <w:color w:val="1F4E79"/>
          <w:sz w:val="28"/>
          <w:szCs w:val="28"/>
        </w:rPr>
        <w:t xml:space="preserve">SECTION E — LICENSOR OBLIGATIONS</w:t>
      </w:r>
    </w:p>
    <w:p>
      <w:pPr>
        <w:pStyle w:val="Heading2"/>
      </w:pPr>
      <w:r>
        <w:rPr>
          <w:rFonts w:ascii="Arial" w:cs="Arial" w:eastAsia="Arial" w:hAnsi="Arial"/>
          <w:b/>
          <w:bCs/>
          <w:color w:val="2E75B6"/>
          <w:sz w:val="24"/>
          <w:szCs w:val="24"/>
        </w:rPr>
        <w:t xml:space="preserve">E.1 Platform Availability</w:t>
      </w:r>
    </w:p>
    <w:p>
      <w:pPr>
        <w:spacing w:after="120"/>
      </w:pPr>
      <w:r>
        <w:rPr>
          <w:rFonts w:ascii="Arial" w:cs="Arial" w:eastAsia="Arial" w:hAnsi="Arial"/>
          <w:sz w:val="22"/>
          <w:szCs w:val="22"/>
        </w:rPr>
        <w:t xml:space="preserve">Licensor will use commercially reasonable efforts to maintain Platform availability at or above 99.5% monthly uptime, excluding scheduled maintenance and circumstances beyond Licensor's reasonable control.</w:t>
      </w:r>
    </w:p>
    <w:p>
      <w:r>
        <w:t xml:space="preserve"/>
      </w:r>
    </w:p>
    <w:p>
      <w:pPr>
        <w:pStyle w:val="Heading2"/>
      </w:pPr>
      <w:r>
        <w:rPr>
          <w:rFonts w:ascii="Arial" w:cs="Arial" w:eastAsia="Arial" w:hAnsi="Arial"/>
          <w:b/>
          <w:bCs/>
          <w:color w:val="2E75B6"/>
          <w:sz w:val="24"/>
          <w:szCs w:val="24"/>
        </w:rPr>
        <w:t xml:space="preserve">E.2 Support</w:t>
      </w:r>
    </w:p>
    <w:p>
      <w:pPr>
        <w:spacing w:after="120"/>
      </w:pPr>
      <w:r>
        <w:rPr>
          <w:rFonts w:ascii="Arial" w:cs="Arial" w:eastAsia="Arial" w:hAnsi="Arial"/>
          <w:sz w:val="22"/>
          <w:szCs w:val="22"/>
        </w:rPr>
        <w:t xml:space="preserve">Licensor will provide Partner with technical support in accordance with the support level applicable to Partner's tier:</w:t>
      </w:r>
    </w:p>
    <w:p>
      <w:pPr>
        <w:pStyle w:val="ListParagraph"/>
        <w:numPr>
          <w:ilvl w:val="0"/>
          <w:numId w:val="2"/>
        </w:numPr>
        <w:spacing w:after="80"/>
      </w:pPr>
      <w:r>
        <w:rPr>
          <w:rFonts w:ascii="Arial" w:cs="Arial" w:eastAsia="Arial" w:hAnsi="Arial"/>
          <w:sz w:val="22"/>
          <w:szCs w:val="22"/>
        </w:rPr>
        <w:t xml:space="preserve">Starter Tier: Email support. Licensor will respond within two (2) business days.</w:t>
      </w:r>
    </w:p>
    <w:p>
      <w:pPr>
        <w:pStyle w:val="ListParagraph"/>
        <w:numPr>
          <w:ilvl w:val="0"/>
          <w:numId w:val="2"/>
        </w:numPr>
        <w:spacing w:after="80"/>
      </w:pPr>
      <w:r>
        <w:rPr>
          <w:rFonts w:ascii="Arial" w:cs="Arial" w:eastAsia="Arial" w:hAnsi="Arial"/>
          <w:sz w:val="22"/>
          <w:szCs w:val="22"/>
        </w:rPr>
        <w:t xml:space="preserve">Pro Tier: Priority email support. Licensor will respond within one (1) business day.</w:t>
      </w:r>
    </w:p>
    <w:p>
      <w:pPr>
        <w:pStyle w:val="ListParagraph"/>
        <w:numPr>
          <w:ilvl w:val="0"/>
          <w:numId w:val="2"/>
        </w:numPr>
        <w:spacing w:after="80"/>
      </w:pPr>
      <w:r>
        <w:rPr>
          <w:rFonts w:ascii="Arial" w:cs="Arial" w:eastAsia="Arial" w:hAnsi="Arial"/>
          <w:sz w:val="22"/>
          <w:szCs w:val="22"/>
        </w:rPr>
        <w:t xml:space="preserve">Enterprise Tier: Dedicated support contact. Licensor will respond by end of the same business day.</w:t>
      </w:r>
    </w:p>
    <w:p>
      <w:r>
        <w:t xml:space="preserve"/>
      </w:r>
    </w:p>
    <w:p>
      <w:pPr>
        <w:spacing w:after="120"/>
      </w:pPr>
      <w:r>
        <w:rPr>
          <w:rFonts w:ascii="Arial" w:cs="Arial" w:eastAsia="Arial" w:hAnsi="Arial"/>
          <w:sz w:val="22"/>
          <w:szCs w:val="22"/>
        </w:rPr>
        <w:t xml:space="preserve">Support covers Platform issues and billing questions. Support does not include coaching advice, client relationship management, or Authorized User disputes.</w:t>
      </w:r>
    </w:p>
    <w:p>
      <w:r>
        <w:t xml:space="preserve"/>
      </w:r>
    </w:p>
    <w:p>
      <w:pPr>
        <w:pStyle w:val="Heading2"/>
      </w:pPr>
      <w:r>
        <w:rPr>
          <w:rFonts w:ascii="Arial" w:cs="Arial" w:eastAsia="Arial" w:hAnsi="Arial"/>
          <w:b/>
          <w:bCs/>
          <w:color w:val="2E75B6"/>
          <w:sz w:val="24"/>
          <w:szCs w:val="24"/>
        </w:rPr>
        <w:t xml:space="preserve">E.3 Partner Admin Page</w:t>
      </w:r>
    </w:p>
    <w:p>
      <w:pPr>
        <w:spacing w:after="120"/>
      </w:pPr>
      <w:r>
        <w:rPr>
          <w:rFonts w:ascii="Arial" w:cs="Arial" w:eastAsia="Arial" w:hAnsi="Arial"/>
          <w:sz w:val="22"/>
          <w:szCs w:val="22"/>
        </w:rPr>
        <w:t xml:space="preserve">Licensor will provide Partner with access to the Partner Admin Page, which allows Partner to view active Authorized Users, monitor usage (minutes used, last session date, billing status), and manage Seat additions and removals.</w:t>
      </w:r>
    </w:p>
    <w:p>
      <w:r>
        <w:t xml:space="preserve"/>
      </w:r>
    </w:p>
    <w:p>
      <w:pPr>
        <w:pStyle w:val="Heading2"/>
      </w:pPr>
      <w:r>
        <w:rPr>
          <w:rFonts w:ascii="Arial" w:cs="Arial" w:eastAsia="Arial" w:hAnsi="Arial"/>
          <w:b/>
          <w:bCs/>
          <w:color w:val="2E75B6"/>
          <w:sz w:val="24"/>
          <w:szCs w:val="24"/>
        </w:rPr>
        <w:t xml:space="preserve">E.4 Onboarding Assistance</w:t>
      </w:r>
    </w:p>
    <w:p>
      <w:pPr>
        <w:spacing w:after="120"/>
      </w:pPr>
      <w:r>
        <w:rPr>
          <w:rFonts w:ascii="Arial" w:cs="Arial" w:eastAsia="Arial" w:hAnsi="Arial"/>
          <w:sz w:val="22"/>
          <w:szCs w:val="22"/>
        </w:rPr>
        <w:t xml:space="preserve">Licensor will provide Partner with a platform walkthrough and onboarding call at the commencement of the Term. Licensor will configure Partner's dedicated phone number, AI assistant persona, and email domain during this process.</w:t>
      </w:r>
    </w:p>
    <w:p>
      <w:r>
        <w:t xml:space="preserve"/>
      </w:r>
    </w:p>
    <w:p>
      <w:pPr>
        <w:pStyle w:val="Heading2"/>
      </w:pPr>
      <w:r>
        <w:rPr>
          <w:rFonts w:ascii="Arial" w:cs="Arial" w:eastAsia="Arial" w:hAnsi="Arial"/>
          <w:b/>
          <w:bCs/>
          <w:color w:val="2E75B6"/>
          <w:sz w:val="24"/>
          <w:szCs w:val="24"/>
        </w:rPr>
        <w:t xml:space="preserve">E.5 Feature Updates</w:t>
      </w:r>
    </w:p>
    <w:p>
      <w:pPr>
        <w:spacing w:after="120"/>
      </w:pPr>
      <w:r>
        <w:rPr>
          <w:rFonts w:ascii="Arial" w:cs="Arial" w:eastAsia="Arial" w:hAnsi="Arial"/>
          <w:sz w:val="22"/>
          <w:szCs w:val="22"/>
        </w:rPr>
        <w:t xml:space="preserve">Licensor will deploy Platform feature updates to all partners simultaneously. New features added to the Platform after the Effective Date are included in Partner's license at no additional cost, unless such features are separately priced add-ons.</w:t>
      </w:r>
    </w:p>
    <w:p>
      <w:r>
        <w:t xml:space="preserve"/>
      </w:r>
    </w:p>
    <w:p>
      <w:pPr>
        <w:pStyle w:val="Heading2"/>
      </w:pPr>
      <w:r>
        <w:rPr>
          <w:rFonts w:ascii="Arial" w:cs="Arial" w:eastAsia="Arial" w:hAnsi="Arial"/>
          <w:b/>
          <w:bCs/>
          <w:color w:val="2E75B6"/>
          <w:sz w:val="24"/>
          <w:szCs w:val="24"/>
        </w:rPr>
        <w:t xml:space="preserve">E.6 Prompt Version Management</w:t>
      </w:r>
    </w:p>
    <w:p>
      <w:pPr>
        <w:spacing w:after="120"/>
      </w:pPr>
      <w:r>
        <w:rPr>
          <w:rFonts w:ascii="Arial" w:cs="Arial" w:eastAsia="Arial" w:hAnsi="Arial"/>
          <w:sz w:val="22"/>
          <w:szCs w:val="22"/>
        </w:rPr>
        <w:t xml:space="preserve">When Licensor releases a material update to the AI coaching prompt, Licensor will update Partner's Vapi assistant within forty-eight (48) hours of deployment to the main Platform.</w:t>
      </w:r>
    </w:p>
    <w:p>
      <w:r>
        <w:t xml:space="preserve"/>
      </w:r>
    </w:p>
    <w:p>
      <w:pPr>
        <w:pStyle w:val="Heading1"/>
      </w:pPr>
      <w:r>
        <w:rPr>
          <w:rFonts w:ascii="Arial" w:cs="Arial" w:eastAsia="Arial" w:hAnsi="Arial"/>
          <w:b/>
          <w:bCs/>
          <w:color w:val="1F4E79"/>
          <w:sz w:val="28"/>
          <w:szCs w:val="28"/>
        </w:rPr>
        <w:t xml:space="preserve">SECTION F — DATA PRIVACY AND SECURITY</w:t>
      </w:r>
    </w:p>
    <w:p>
      <w:pPr>
        <w:pStyle w:val="Heading2"/>
      </w:pPr>
      <w:r>
        <w:rPr>
          <w:rFonts w:ascii="Arial" w:cs="Arial" w:eastAsia="Arial" w:hAnsi="Arial"/>
          <w:b/>
          <w:bCs/>
          <w:color w:val="2E75B6"/>
          <w:sz w:val="24"/>
          <w:szCs w:val="24"/>
        </w:rPr>
        <w:t xml:space="preserve">F.1 Roles</w:t>
      </w:r>
    </w:p>
    <w:p>
      <w:pPr>
        <w:spacing w:after="120"/>
      </w:pPr>
      <w:r>
        <w:rPr>
          <w:rFonts w:ascii="Arial" w:cs="Arial" w:eastAsia="Arial" w:hAnsi="Arial"/>
          <w:sz w:val="22"/>
          <w:szCs w:val="22"/>
        </w:rPr>
        <w:t xml:space="preserve">For the purposes of applicable privacy law, Partner is the data controller with respect to the personal data of Partner's Authorized Users. Licensor is a data processor, processing such data only on Partner's behalf in connection with providing the Platform services.</w:t>
      </w:r>
    </w:p>
    <w:p>
      <w:r>
        <w:t xml:space="preserve"/>
      </w:r>
    </w:p>
    <w:p>
      <w:pPr>
        <w:pStyle w:val="Heading2"/>
      </w:pPr>
      <w:r>
        <w:rPr>
          <w:rFonts w:ascii="Arial" w:cs="Arial" w:eastAsia="Arial" w:hAnsi="Arial"/>
          <w:b/>
          <w:bCs/>
          <w:color w:val="2E75B6"/>
          <w:sz w:val="24"/>
          <w:szCs w:val="24"/>
        </w:rPr>
        <w:t xml:space="preserve">F.2 Data Isolation</w:t>
      </w:r>
    </w:p>
    <w:p>
      <w:pPr>
        <w:spacing w:after="120"/>
      </w:pPr>
      <w:r>
        <w:rPr>
          <w:rFonts w:ascii="Arial" w:cs="Arial" w:eastAsia="Arial" w:hAnsi="Arial"/>
          <w:sz w:val="22"/>
          <w:szCs w:val="22"/>
        </w:rPr>
        <w:t xml:space="preserve">Licensor maintains logical isolation of Partner's data from data belonging to other partners and from Anchor direct user data. Partner's Authorized Users' session data is accessible only to Licensor's systems and to the individual Authorized User.</w:t>
      </w:r>
    </w:p>
    <w:p>
      <w:r>
        <w:t xml:space="preserve"/>
      </w:r>
    </w:p>
    <w:p>
      <w:pPr>
        <w:pStyle w:val="Heading2"/>
      </w:pPr>
      <w:r>
        <w:rPr>
          <w:rFonts w:ascii="Arial" w:cs="Arial" w:eastAsia="Arial" w:hAnsi="Arial"/>
          <w:b/>
          <w:bCs/>
          <w:color w:val="2E75B6"/>
          <w:sz w:val="24"/>
          <w:szCs w:val="24"/>
        </w:rPr>
        <w:t xml:space="preserve">F.3 Permitted Use of Partner Data</w:t>
      </w:r>
    </w:p>
    <w:p>
      <w:pPr>
        <w:spacing w:after="120"/>
      </w:pPr>
      <w:r>
        <w:rPr>
          <w:rFonts w:ascii="Arial" w:cs="Arial" w:eastAsia="Arial" w:hAnsi="Arial"/>
          <w:sz w:val="22"/>
          <w:szCs w:val="22"/>
        </w:rPr>
        <w:t xml:space="preserve">Licensor shall not use Partner's Authorized Users' data for any purpose other than providing the Platform services under this Agreement. Licensor will not sell, share, or disclose Partner's Authorized Users' data to third parties except as required to operate the Platform through the Sub-Processors listed in Section A or as required by law.</w:t>
      </w:r>
    </w:p>
    <w:p>
      <w:r>
        <w:t xml:space="preserve"/>
      </w:r>
    </w:p>
    <w:p>
      <w:pPr>
        <w:pStyle w:val="Heading2"/>
      </w:pPr>
      <w:r>
        <w:rPr>
          <w:rFonts w:ascii="Arial" w:cs="Arial" w:eastAsia="Arial" w:hAnsi="Arial"/>
          <w:b/>
          <w:bCs/>
          <w:color w:val="2E75B6"/>
          <w:sz w:val="24"/>
          <w:szCs w:val="24"/>
        </w:rPr>
        <w:t xml:space="preserve">F.4 Partner's Consent Obligations</w:t>
      </w:r>
    </w:p>
    <w:p>
      <w:pPr>
        <w:spacing w:after="120"/>
      </w:pPr>
      <w:r>
        <w:rPr>
          <w:rFonts w:ascii="Arial" w:cs="Arial" w:eastAsia="Arial" w:hAnsi="Arial"/>
          <w:sz w:val="22"/>
          <w:szCs w:val="22"/>
        </w:rPr>
        <w:t xml:space="preserve">Partner is solely responsible for obtaining all legally required consents from its Authorized Users for call recording, transcription, AI processing, and data storage. Licensor's obligation to obtain consent is limited to the in-session AI disclosure at the start of each call.</w:t>
      </w:r>
    </w:p>
    <w:p>
      <w:r>
        <w:t xml:space="preserve"/>
      </w:r>
    </w:p>
    <w:p>
      <w:pPr>
        <w:pStyle w:val="Heading2"/>
      </w:pPr>
      <w:r>
        <w:rPr>
          <w:rFonts w:ascii="Arial" w:cs="Arial" w:eastAsia="Arial" w:hAnsi="Arial"/>
          <w:b/>
          <w:bCs/>
          <w:color w:val="2E75B6"/>
          <w:sz w:val="24"/>
          <w:szCs w:val="24"/>
        </w:rPr>
        <w:t xml:space="preserve">F.5 Sub-Processors</w:t>
      </w:r>
    </w:p>
    <w:p>
      <w:pPr>
        <w:spacing w:after="120"/>
      </w:pPr>
      <w:r>
        <w:rPr>
          <w:rFonts w:ascii="Arial" w:cs="Arial" w:eastAsia="Arial" w:hAnsi="Arial"/>
          <w:sz w:val="22"/>
          <w:szCs w:val="22"/>
        </w:rPr>
        <w:t xml:space="preserve">Partner acknowledges and consents to Licensor's use of the Sub-Processors listed in Section A in connection with providing the Platform. Licensor will notify Partner of any material changes to the Sub-Processor list with reasonable advance notice.</w:t>
      </w:r>
    </w:p>
    <w:p>
      <w:r>
        <w:t xml:space="preserve"/>
      </w:r>
    </w:p>
    <w:p>
      <w:pPr>
        <w:pStyle w:val="Heading2"/>
      </w:pPr>
      <w:r>
        <w:rPr>
          <w:rFonts w:ascii="Arial" w:cs="Arial" w:eastAsia="Arial" w:hAnsi="Arial"/>
          <w:b/>
          <w:bCs/>
          <w:color w:val="2E75B6"/>
          <w:sz w:val="24"/>
          <w:szCs w:val="24"/>
        </w:rPr>
        <w:t xml:space="preserve">F.6 Security</w:t>
      </w:r>
    </w:p>
    <w:p>
      <w:pPr>
        <w:spacing w:after="120"/>
      </w:pPr>
      <w:r>
        <w:rPr>
          <w:rFonts w:ascii="Arial" w:cs="Arial" w:eastAsia="Arial" w:hAnsi="Arial"/>
          <w:sz w:val="22"/>
          <w:szCs w:val="22"/>
        </w:rPr>
        <w:t xml:space="preserve">Licensor will implement and maintain commercially reasonable technical and organizational measures to protect Partner's Authorized Users' data, including TLS encryption in transit, encrypted storage at rest, and access controls limiting data access to authorized personnel.</w:t>
      </w:r>
    </w:p>
    <w:p>
      <w:r>
        <w:t xml:space="preserve"/>
      </w:r>
    </w:p>
    <w:p>
      <w:pPr>
        <w:pStyle w:val="Heading2"/>
      </w:pPr>
      <w:r>
        <w:rPr>
          <w:rFonts w:ascii="Arial" w:cs="Arial" w:eastAsia="Arial" w:hAnsi="Arial"/>
          <w:b/>
          <w:bCs/>
          <w:color w:val="2E75B6"/>
          <w:sz w:val="24"/>
          <w:szCs w:val="24"/>
        </w:rPr>
        <w:t xml:space="preserve">F.7 Data Retention and Deletion</w:t>
      </w:r>
    </w:p>
    <w:p>
      <w:pPr>
        <w:spacing w:after="120"/>
      </w:pPr>
      <w:r>
        <w:rPr>
          <w:rFonts w:ascii="Arial" w:cs="Arial" w:eastAsia="Arial" w:hAnsi="Arial"/>
          <w:sz w:val="22"/>
          <w:szCs w:val="22"/>
        </w:rPr>
        <w:t xml:space="preserve">Upon termination or expiration of this Agreement for any reason, Licensor will retain Partner's data, including Authorized Users' session transcripts, for ninety (90) days following the termination date to allow Partner to export records. After ninety (90) days, Licensor will delete or anonymize Partner's data in accordance with Licensor's standard retention practices.</w:t>
      </w:r>
    </w:p>
    <w:p>
      <w:r>
        <w:t xml:space="preserve"/>
      </w:r>
    </w:p>
    <w:p>
      <w:pPr>
        <w:pStyle w:val="Heading1"/>
      </w:pPr>
      <w:r>
        <w:rPr>
          <w:rFonts w:ascii="Arial" w:cs="Arial" w:eastAsia="Arial" w:hAnsi="Arial"/>
          <w:b/>
          <w:bCs/>
          <w:color w:val="1F4E79"/>
          <w:sz w:val="28"/>
          <w:szCs w:val="28"/>
        </w:rPr>
        <w:t xml:space="preserve">SECTION G — INTELLECTUAL PROPERTY</w:t>
      </w:r>
    </w:p>
    <w:p>
      <w:pPr>
        <w:pStyle w:val="Heading2"/>
      </w:pPr>
      <w:r>
        <w:rPr>
          <w:rFonts w:ascii="Arial" w:cs="Arial" w:eastAsia="Arial" w:hAnsi="Arial"/>
          <w:b/>
          <w:bCs/>
          <w:color w:val="2E75B6"/>
          <w:sz w:val="24"/>
          <w:szCs w:val="24"/>
        </w:rPr>
        <w:t xml:space="preserve">G.1 Licensor Ownership</w:t>
      </w:r>
    </w:p>
    <w:p>
      <w:pPr>
        <w:spacing w:after="120"/>
      </w:pPr>
      <w:r>
        <w:rPr>
          <w:rFonts w:ascii="Arial" w:cs="Arial" w:eastAsia="Arial" w:hAnsi="Arial"/>
          <w:sz w:val="22"/>
          <w:szCs w:val="22"/>
        </w:rPr>
        <w:t xml:space="preserve">All Intellectual Property in and to the Platform, including the software codebase, AI frameworks, coaching methodologies, system prompts, voice personas, and all associated technology, is and shall remain the sole and exclusive property of Licensor. This Agreement does not convey any ownership interest in the Platform to Partner.</w:t>
      </w:r>
    </w:p>
    <w:p>
      <w:r>
        <w:t xml:space="preserve"/>
      </w:r>
    </w:p>
    <w:p>
      <w:pPr>
        <w:pStyle w:val="Heading2"/>
      </w:pPr>
      <w:r>
        <w:rPr>
          <w:rFonts w:ascii="Arial" w:cs="Arial" w:eastAsia="Arial" w:hAnsi="Arial"/>
          <w:b/>
          <w:bCs/>
          <w:color w:val="2E75B6"/>
          <w:sz w:val="24"/>
          <w:szCs w:val="24"/>
        </w:rPr>
        <w:t xml:space="preserve">G.2 Partner Ownership</w:t>
      </w:r>
    </w:p>
    <w:p>
      <w:pPr>
        <w:spacing w:after="120"/>
      </w:pPr>
      <w:r>
        <w:rPr>
          <w:rFonts w:ascii="Arial" w:cs="Arial" w:eastAsia="Arial" w:hAnsi="Arial"/>
          <w:sz w:val="22"/>
          <w:szCs w:val="22"/>
        </w:rPr>
        <w:t xml:space="preserve">Partner retains all ownership rights in and to the Partner Marks and Partner's own client relationships, client data (as data controller), and any proprietary materials Partner independently develops that do not incorporate any element of the Platform.</w:t>
      </w:r>
    </w:p>
    <w:p>
      <w:r>
        <w:t xml:space="preserve"/>
      </w:r>
    </w:p>
    <w:p>
      <w:pPr>
        <w:pStyle w:val="Heading2"/>
      </w:pPr>
      <w:r>
        <w:rPr>
          <w:rFonts w:ascii="Arial" w:cs="Arial" w:eastAsia="Arial" w:hAnsi="Arial"/>
          <w:b/>
          <w:bCs/>
          <w:color w:val="2E75B6"/>
          <w:sz w:val="24"/>
          <w:szCs w:val="24"/>
        </w:rPr>
        <w:t xml:space="preserve">G.3 License to Partner Marks</w:t>
      </w:r>
    </w:p>
    <w:p>
      <w:pPr>
        <w:spacing w:after="120"/>
      </w:pPr>
      <w:r>
        <w:rPr>
          <w:rFonts w:ascii="Arial" w:cs="Arial" w:eastAsia="Arial" w:hAnsi="Arial"/>
          <w:sz w:val="22"/>
          <w:szCs w:val="22"/>
        </w:rPr>
        <w:t xml:space="preserve">Partner grants Licensor a limited, non-exclusive, royalty-free license to use Partner's brand name, logo, and domain solely to configure and operate the Platform for Partner's account (e.g., displaying Partner's brand name as the assistant persona and sending emails from Partner's domain).</w:t>
      </w:r>
    </w:p>
    <w:p>
      <w:r>
        <w:t xml:space="preserve"/>
      </w:r>
    </w:p>
    <w:p>
      <w:pPr>
        <w:pStyle w:val="Heading2"/>
      </w:pPr>
      <w:r>
        <w:rPr>
          <w:rFonts w:ascii="Arial" w:cs="Arial" w:eastAsia="Arial" w:hAnsi="Arial"/>
          <w:b/>
          <w:bCs/>
          <w:color w:val="2E75B6"/>
          <w:sz w:val="24"/>
          <w:szCs w:val="24"/>
        </w:rPr>
        <w:t xml:space="preserve">G.4 Restrictions on Licensor Marks</w:t>
      </w:r>
    </w:p>
    <w:p>
      <w:pPr>
        <w:spacing w:after="120"/>
      </w:pPr>
      <w:r>
        <w:rPr>
          <w:rFonts w:ascii="Arial" w:cs="Arial" w:eastAsia="Arial" w:hAnsi="Arial"/>
          <w:sz w:val="22"/>
          <w:szCs w:val="22"/>
        </w:rPr>
        <w:t xml:space="preserve">Partner shall not use the Licensor Marks, including the name "Anchor the Coach" or any associated branding, in any client-facing materials, marketing, or communications without Licensor's prior written consent. Partner's clients must experience the Platform under Partner's brand, not Licensor's.</w:t>
      </w:r>
    </w:p>
    <w:p>
      <w:r>
        <w:t xml:space="preserve"/>
      </w:r>
    </w:p>
    <w:p>
      <w:pPr>
        <w:pStyle w:val="Heading2"/>
      </w:pPr>
      <w:r>
        <w:rPr>
          <w:rFonts w:ascii="Arial" w:cs="Arial" w:eastAsia="Arial" w:hAnsi="Arial"/>
          <w:b/>
          <w:bCs/>
          <w:color w:val="2E75B6"/>
          <w:sz w:val="24"/>
          <w:szCs w:val="24"/>
        </w:rPr>
        <w:t xml:space="preserve">G.5 Non-Circumvention</w:t>
      </w:r>
    </w:p>
    <w:p>
      <w:pPr>
        <w:spacing w:after="120"/>
      </w:pPr>
      <w:r>
        <w:rPr>
          <w:rFonts w:ascii="Arial" w:cs="Arial" w:eastAsia="Arial" w:hAnsi="Arial"/>
          <w:sz w:val="22"/>
          <w:szCs w:val="22"/>
        </w:rPr>
        <w:t xml:space="preserve">During the Term and for a period of two (2) years following termination of this Agreement, Partner shall not, directly or indirectly: (i) attempt to replicate the Platform's technology, methodology, or coaching framework for any competing product; (ii) solicit or engage any of Licensor's Sub-Processors, employees, or contractors for the purpose of building a competing AI coaching platform; or (iii) use Confidential Information obtained under this Agreement to compete with Licensor.</w:t>
      </w:r>
    </w:p>
    <w:p>
      <w:r>
        <w:t xml:space="preserve"/>
      </w:r>
    </w:p>
    <w:p>
      <w:pPr>
        <w:pStyle w:val="Heading1"/>
      </w:pPr>
      <w:r>
        <w:rPr>
          <w:rFonts w:ascii="Arial" w:cs="Arial" w:eastAsia="Arial" w:hAnsi="Arial"/>
          <w:b/>
          <w:bCs/>
          <w:color w:val="1F4E79"/>
          <w:sz w:val="28"/>
          <w:szCs w:val="28"/>
        </w:rPr>
        <w:t xml:space="preserve">SECTION H — TERM AND TERMINATION</w:t>
      </w:r>
    </w:p>
    <w:p>
      <w:pPr>
        <w:pStyle w:val="Heading2"/>
      </w:pPr>
      <w:r>
        <w:rPr>
          <w:rFonts w:ascii="Arial" w:cs="Arial" w:eastAsia="Arial" w:hAnsi="Arial"/>
          <w:b/>
          <w:bCs/>
          <w:color w:val="2E75B6"/>
          <w:sz w:val="24"/>
          <w:szCs w:val="24"/>
        </w:rPr>
        <w:t xml:space="preserve">H.1 Term</w:t>
      </w:r>
    </w:p>
    <w:p>
      <w:pPr>
        <w:spacing w:after="120"/>
      </w:pPr>
      <w:r>
        <w:rPr>
          <w:rFonts w:ascii="Arial" w:cs="Arial" w:eastAsia="Arial" w:hAnsi="Arial"/>
          <w:sz w:val="22"/>
          <w:szCs w:val="22"/>
        </w:rPr>
        <w:t xml:space="preserve">This Agreement commences on the Effective Date and continues on a month-to-month basis until terminated in accordance with this Section H.</w:t>
      </w:r>
    </w:p>
    <w:p>
      <w:r>
        <w:t xml:space="preserve"/>
      </w:r>
    </w:p>
    <w:p>
      <w:pPr>
        <w:pStyle w:val="Heading2"/>
      </w:pPr>
      <w:r>
        <w:rPr>
          <w:rFonts w:ascii="Arial" w:cs="Arial" w:eastAsia="Arial" w:hAnsi="Arial"/>
          <w:b/>
          <w:bCs/>
          <w:color w:val="2E75B6"/>
          <w:sz w:val="24"/>
          <w:szCs w:val="24"/>
        </w:rPr>
        <w:t xml:space="preserve">H.2 Termination for Convenience</w:t>
      </w:r>
    </w:p>
    <w:p>
      <w:pPr>
        <w:spacing w:after="120"/>
      </w:pPr>
      <w:r>
        <w:rPr>
          <w:rFonts w:ascii="Arial" w:cs="Arial" w:eastAsia="Arial" w:hAnsi="Arial"/>
          <w:sz w:val="22"/>
          <w:szCs w:val="22"/>
        </w:rPr>
        <w:t xml:space="preserve">Either party may terminate this Agreement for any reason or no reason upon thirty (30) days prior written notice to the other party.</w:t>
      </w:r>
    </w:p>
    <w:p>
      <w:r>
        <w:t xml:space="preserve"/>
      </w:r>
    </w:p>
    <w:p>
      <w:pPr>
        <w:pStyle w:val="Heading2"/>
      </w:pPr>
      <w:r>
        <w:rPr>
          <w:rFonts w:ascii="Arial" w:cs="Arial" w:eastAsia="Arial" w:hAnsi="Arial"/>
          <w:b/>
          <w:bCs/>
          <w:color w:val="2E75B6"/>
          <w:sz w:val="24"/>
          <w:szCs w:val="24"/>
        </w:rPr>
        <w:t xml:space="preserve">H.3 Termination for Cause</w:t>
      </w:r>
    </w:p>
    <w:p>
      <w:pPr>
        <w:spacing w:after="120"/>
      </w:pPr>
      <w:r>
        <w:rPr>
          <w:rFonts w:ascii="Arial" w:cs="Arial" w:eastAsia="Arial" w:hAnsi="Arial"/>
          <w:sz w:val="22"/>
          <w:szCs w:val="22"/>
        </w:rPr>
        <w:t xml:space="preserve">Licensor may terminate this Agreement immediately upon written notice to Partner, without the thirty (30) day notice period, upon the occurrence of any of the following:</w:t>
      </w:r>
    </w:p>
    <w:p>
      <w:pPr>
        <w:pStyle w:val="ListParagraph"/>
        <w:numPr>
          <w:ilvl w:val="0"/>
          <w:numId w:val="2"/>
        </w:numPr>
        <w:spacing w:after="80"/>
      </w:pPr>
      <w:r>
        <w:rPr>
          <w:rFonts w:ascii="Arial" w:cs="Arial" w:eastAsia="Arial" w:hAnsi="Arial"/>
          <w:sz w:val="22"/>
          <w:szCs w:val="22"/>
        </w:rPr>
        <w:t xml:space="preserve">Non-payment of fees that is not cured within seven (7) days of notice under Section C.5;</w:t>
      </w:r>
    </w:p>
    <w:p>
      <w:pPr>
        <w:pStyle w:val="ListParagraph"/>
        <w:numPr>
          <w:ilvl w:val="0"/>
          <w:numId w:val="2"/>
        </w:numPr>
        <w:spacing w:after="80"/>
      </w:pPr>
      <w:r>
        <w:rPr>
          <w:rFonts w:ascii="Arial" w:cs="Arial" w:eastAsia="Arial" w:hAnsi="Arial"/>
          <w:sz w:val="22"/>
          <w:szCs w:val="22"/>
        </w:rPr>
        <w:t xml:space="preserve">Material breach of the IP restrictions in Section B.2 or Section G.5;</w:t>
      </w:r>
    </w:p>
    <w:p>
      <w:pPr>
        <w:pStyle w:val="ListParagraph"/>
        <w:numPr>
          <w:ilvl w:val="0"/>
          <w:numId w:val="2"/>
        </w:numPr>
        <w:spacing w:after="80"/>
      </w:pPr>
      <w:r>
        <w:rPr>
          <w:rFonts w:ascii="Arial" w:cs="Arial" w:eastAsia="Arial" w:hAnsi="Arial"/>
          <w:sz w:val="22"/>
          <w:szCs w:val="22"/>
        </w:rPr>
        <w:t xml:space="preserve">Misrepresentation of the Platform's capabilities to Authorized Users or third parties in violation of Section D.7;</w:t>
      </w:r>
    </w:p>
    <w:p>
      <w:pPr>
        <w:pStyle w:val="ListParagraph"/>
        <w:numPr>
          <w:ilvl w:val="0"/>
          <w:numId w:val="2"/>
        </w:numPr>
        <w:spacing w:after="80"/>
      </w:pPr>
      <w:r>
        <w:rPr>
          <w:rFonts w:ascii="Arial" w:cs="Arial" w:eastAsia="Arial" w:hAnsi="Arial"/>
          <w:sz w:val="22"/>
          <w:szCs w:val="22"/>
        </w:rPr>
        <w:t xml:space="preserve">Breach of the Minimum Resale Price obligations in Section C.6;</w:t>
      </w:r>
    </w:p>
    <w:p>
      <w:pPr>
        <w:pStyle w:val="ListParagraph"/>
        <w:numPr>
          <w:ilvl w:val="0"/>
          <w:numId w:val="2"/>
        </w:numPr>
        <w:spacing w:after="80"/>
      </w:pPr>
      <w:r>
        <w:rPr>
          <w:rFonts w:ascii="Arial" w:cs="Arial" w:eastAsia="Arial" w:hAnsi="Arial"/>
          <w:sz w:val="22"/>
          <w:szCs w:val="22"/>
        </w:rPr>
        <w:t xml:space="preserve">Dissolution, loss of good standing, or loss of EIN of Partner's business entity;</w:t>
      </w:r>
    </w:p>
    <w:p>
      <w:pPr>
        <w:pStyle w:val="ListParagraph"/>
        <w:numPr>
          <w:ilvl w:val="0"/>
          <w:numId w:val="2"/>
        </w:numPr>
        <w:spacing w:after="80"/>
      </w:pPr>
      <w:r>
        <w:rPr>
          <w:rFonts w:ascii="Arial" w:cs="Arial" w:eastAsia="Arial" w:hAnsi="Arial"/>
          <w:sz w:val="22"/>
          <w:szCs w:val="22"/>
        </w:rPr>
        <w:t xml:space="preserve">Partner's use of the Platform in violation of applicable law in a manner that creates material legal exposure for Licensor.</w:t>
      </w:r>
    </w:p>
    <w:p>
      <w:r>
        <w:t xml:space="preserve"/>
      </w:r>
    </w:p>
    <w:p>
      <w:pPr>
        <w:pStyle w:val="Heading2"/>
      </w:pPr>
      <w:r>
        <w:rPr>
          <w:rFonts w:ascii="Arial" w:cs="Arial" w:eastAsia="Arial" w:hAnsi="Arial"/>
          <w:b/>
          <w:bCs/>
          <w:color w:val="2E75B6"/>
          <w:sz w:val="24"/>
          <w:szCs w:val="24"/>
        </w:rPr>
        <w:t xml:space="preserve">H.4 Effects of Termination</w:t>
      </w:r>
    </w:p>
    <w:p>
      <w:pPr>
        <w:spacing w:after="120"/>
      </w:pPr>
      <w:r>
        <w:rPr>
          <w:rFonts w:ascii="Arial" w:cs="Arial" w:eastAsia="Arial" w:hAnsi="Arial"/>
          <w:sz w:val="22"/>
          <w:szCs w:val="22"/>
        </w:rPr>
        <w:t xml:space="preserve">Upon termination of this Agreement for any reason:</w:t>
      </w:r>
    </w:p>
    <w:p>
      <w:pPr>
        <w:pStyle w:val="ListParagraph"/>
        <w:numPr>
          <w:ilvl w:val="0"/>
          <w:numId w:val="2"/>
        </w:numPr>
        <w:spacing w:after="80"/>
      </w:pPr>
      <w:r>
        <w:rPr>
          <w:rFonts w:ascii="Arial" w:cs="Arial" w:eastAsia="Arial" w:hAnsi="Arial"/>
          <w:sz w:val="22"/>
          <w:szCs w:val="22"/>
        </w:rPr>
        <w:t xml:space="preserve">Partner's license to use the Platform terminates immediately;</w:t>
      </w:r>
    </w:p>
    <w:p>
      <w:pPr>
        <w:pStyle w:val="ListParagraph"/>
        <w:numPr>
          <w:ilvl w:val="0"/>
          <w:numId w:val="2"/>
        </w:numPr>
        <w:spacing w:after="80"/>
      </w:pPr>
      <w:r>
        <w:rPr>
          <w:rFonts w:ascii="Arial" w:cs="Arial" w:eastAsia="Arial" w:hAnsi="Arial"/>
          <w:sz w:val="22"/>
          <w:szCs w:val="22"/>
        </w:rPr>
        <w:t xml:space="preserve">Licensor will suspend Partner's access to the Partner Admin Page and to the Platform's administrative functions at the end of the notice period;</w:t>
      </w:r>
    </w:p>
    <w:p>
      <w:pPr>
        <w:pStyle w:val="ListParagraph"/>
        <w:numPr>
          <w:ilvl w:val="0"/>
          <w:numId w:val="2"/>
        </w:numPr>
        <w:spacing w:after="80"/>
      </w:pPr>
      <w:r>
        <w:rPr>
          <w:rFonts w:ascii="Arial" w:cs="Arial" w:eastAsia="Arial" w:hAnsi="Arial"/>
          <w:sz w:val="22"/>
          <w:szCs w:val="22"/>
        </w:rPr>
        <w:t xml:space="preserve">Partner remains obligated to pay all fees accrued and owing through the end of the final billing cycle;</w:t>
      </w:r>
    </w:p>
    <w:p>
      <w:pPr>
        <w:pStyle w:val="ListParagraph"/>
        <w:numPr>
          <w:ilvl w:val="0"/>
          <w:numId w:val="2"/>
        </w:numPr>
        <w:spacing w:after="80"/>
      </w:pPr>
      <w:r>
        <w:rPr>
          <w:rFonts w:ascii="Arial" w:cs="Arial" w:eastAsia="Arial" w:hAnsi="Arial"/>
          <w:sz w:val="22"/>
          <w:szCs w:val="22"/>
        </w:rPr>
        <w:t xml:space="preserve">Partner shall promptly cease all use of Licensor Marks and remove any references to the Platform from Partner's marketing materials;</w:t>
      </w:r>
    </w:p>
    <w:p>
      <w:pPr>
        <w:pStyle w:val="ListParagraph"/>
        <w:numPr>
          <w:ilvl w:val="0"/>
          <w:numId w:val="2"/>
        </w:numPr>
        <w:spacing w:after="80"/>
      </w:pPr>
      <w:r>
        <w:rPr>
          <w:rFonts w:ascii="Arial" w:cs="Arial" w:eastAsia="Arial" w:hAnsi="Arial"/>
          <w:sz w:val="22"/>
          <w:szCs w:val="22"/>
        </w:rPr>
        <w:t xml:space="preserve">Partner is responsible for notifying its Authorized Users of any changes to service availability.</w:t>
      </w:r>
    </w:p>
    <w:p>
      <w:r>
        <w:t xml:space="preserve"/>
      </w:r>
    </w:p>
    <w:p>
      <w:pPr>
        <w:pStyle w:val="Heading2"/>
      </w:pPr>
      <w:r>
        <w:rPr>
          <w:rFonts w:ascii="Arial" w:cs="Arial" w:eastAsia="Arial" w:hAnsi="Arial"/>
          <w:b/>
          <w:bCs/>
          <w:color w:val="2E75B6"/>
          <w:sz w:val="24"/>
          <w:szCs w:val="24"/>
        </w:rPr>
        <w:t xml:space="preserve">H.5 Survival</w:t>
      </w:r>
    </w:p>
    <w:p>
      <w:pPr>
        <w:spacing w:after="120"/>
      </w:pPr>
      <w:r>
        <w:rPr>
          <w:rFonts w:ascii="Arial" w:cs="Arial" w:eastAsia="Arial" w:hAnsi="Arial"/>
          <w:sz w:val="22"/>
          <w:szCs w:val="22"/>
        </w:rPr>
        <w:t xml:space="preserve">The following Sections shall survive the expiration or termination of this Agreement for any reason: Section A (Definitions), Section C (Financial Terms, to the extent of amounts accrued and owing), Section G (Intellectual Property), Section H.4 (Effects of Termination), Section I (Limitation of Liability and Indemnification), Section J (Dispute Resolution), and Section K (General Provisions).</w:t>
      </w:r>
    </w:p>
    <w:p>
      <w:r>
        <w:t xml:space="preserve"/>
      </w:r>
    </w:p>
    <w:p>
      <w:pPr>
        <w:pStyle w:val="Heading1"/>
      </w:pPr>
      <w:r>
        <w:rPr>
          <w:rFonts w:ascii="Arial" w:cs="Arial" w:eastAsia="Arial" w:hAnsi="Arial"/>
          <w:b/>
          <w:bCs/>
          <w:color w:val="1F4E79"/>
          <w:sz w:val="28"/>
          <w:szCs w:val="28"/>
        </w:rPr>
        <w:t xml:space="preserve">SECTION I — LIMITATION OF LIABILITY AND INDEMNIFICATION</w:t>
      </w:r>
    </w:p>
    <w:p>
      <w:pPr>
        <w:pStyle w:val="Heading2"/>
      </w:pPr>
      <w:r>
        <w:rPr>
          <w:rFonts w:ascii="Arial" w:cs="Arial" w:eastAsia="Arial" w:hAnsi="Arial"/>
          <w:b/>
          <w:bCs/>
          <w:color w:val="2E75B6"/>
          <w:sz w:val="24"/>
          <w:szCs w:val="24"/>
        </w:rPr>
        <w:t xml:space="preserve">I.1 Limitation of Liability</w:t>
      </w:r>
    </w:p>
    <w:p>
      <w:pPr>
        <w:spacing w:after="120"/>
      </w:pPr>
      <w:r>
        <w:rPr>
          <w:rFonts w:ascii="Arial" w:cs="Arial" w:eastAsia="Arial" w:hAnsi="Arial"/>
          <w:sz w:val="22"/>
          <w:szCs w:val="22"/>
        </w:rPr>
        <w:t xml:space="preserve">EXCEPT FOR BREACHES OF SECTION G (INTELLECTUAL PROPERTY), SECTION B.2 (LICENSE RESTRICTIONS), OR OBLIGATIONS OF CONFIDENTIALITY, IN NO EVENT SHALL EITHER PARTY BE LIABLE TO THE OTHER FOR ANY INDIRECT, INCIDENTAL, SPECIAL, CONSEQUENTIAL, EXEMPLARY, OR PUNITIVE DAMAGES, INCLUDING LOSS OF PROFITS, LOSS OF REVENUE, LOSS OF DATA, OR LOSS OF BUSINESS OPPORTUNITY, WHETHER BASED ON CONTRACT, TORT, STRICT LIABILITY, OR ANY OTHER THEORY, EVEN IF SUCH PARTY HAS BEEN ADVISED OF THE POSSIBILITY OF SUCH DAMAGES.</w:t>
      </w:r>
    </w:p>
    <w:p>
      <w:r>
        <w:t xml:space="preserve"/>
      </w:r>
    </w:p>
    <w:p>
      <w:pPr>
        <w:pStyle w:val="Heading2"/>
      </w:pPr>
      <w:r>
        <w:rPr>
          <w:rFonts w:ascii="Arial" w:cs="Arial" w:eastAsia="Arial" w:hAnsi="Arial"/>
          <w:b/>
          <w:bCs/>
          <w:color w:val="2E75B6"/>
          <w:sz w:val="24"/>
          <w:szCs w:val="24"/>
        </w:rPr>
        <w:t xml:space="preserve">I.2 Cap on Liability</w:t>
      </w:r>
    </w:p>
    <w:p>
      <w:pPr>
        <w:spacing w:after="120"/>
      </w:pPr>
      <w:r>
        <w:rPr>
          <w:rFonts w:ascii="Arial" w:cs="Arial" w:eastAsia="Arial" w:hAnsi="Arial"/>
          <w:sz w:val="22"/>
          <w:szCs w:val="22"/>
        </w:rPr>
        <w:t xml:space="preserve">EXCEPT FOR CLAIMS ARISING FROM A PARTY'S FRAUD, WILLFUL MISCONDUCT, OR BREACH OF SECTION G, LICENSOR'S TOTAL AGGREGATE LIABILITY TO PARTNER FOR ALL CLAIMS ARISING UNDER OR RELATED TO THIS AGREEMENT SHALL NOT EXCEED THE TOTAL FEES PAID BY PARTNER TO LICENSOR IN THE TWELVE (12) MONTHS PRECEDING THE EVENT GIVING RISE TO THE CLAIM.</w:t>
      </w:r>
    </w:p>
    <w:p>
      <w:r>
        <w:t xml:space="preserve"/>
      </w:r>
    </w:p>
    <w:p>
      <w:pPr>
        <w:pStyle w:val="Heading2"/>
      </w:pPr>
      <w:r>
        <w:rPr>
          <w:rFonts w:ascii="Arial" w:cs="Arial" w:eastAsia="Arial" w:hAnsi="Arial"/>
          <w:b/>
          <w:bCs/>
          <w:color w:val="2E75B6"/>
          <w:sz w:val="24"/>
          <w:szCs w:val="24"/>
        </w:rPr>
        <w:t xml:space="preserve">I.3 No Warranty of Outcome</w:t>
      </w:r>
    </w:p>
    <w:p>
      <w:pPr>
        <w:spacing w:after="120"/>
      </w:pPr>
      <w:r>
        <w:rPr>
          <w:rFonts w:ascii="Arial" w:cs="Arial" w:eastAsia="Arial" w:hAnsi="Arial"/>
          <w:sz w:val="22"/>
          <w:szCs w:val="22"/>
        </w:rPr>
        <w:t xml:space="preserve">LICENSOR DOES NOT WARRANT THAT THE PLATFORM WILL ACHIEVE ANY PARTICULAR COACHING OUTCOME FOR ANY AUTHORIZED USER. THE PLATFORM IS PROVIDED "AS IS" AND "AS AVAILABLE" WITHOUT WARRANTY OF ANY KIND, EXPRESS OR IMPLIED, INCLUDING BUT NOT LIMITED TO WARRANTIES OF MERCHANTABILITY, FITNESS FOR A PARTICULAR PURPOSE, OR NON-INFRINGEMENT.</w:t>
      </w:r>
    </w:p>
    <w:p>
      <w:r>
        <w:t xml:space="preserve"/>
      </w:r>
    </w:p>
    <w:p>
      <w:pPr>
        <w:pStyle w:val="Heading2"/>
      </w:pPr>
      <w:r>
        <w:rPr>
          <w:rFonts w:ascii="Arial" w:cs="Arial" w:eastAsia="Arial" w:hAnsi="Arial"/>
          <w:b/>
          <w:bCs/>
          <w:color w:val="2E75B6"/>
          <w:sz w:val="24"/>
          <w:szCs w:val="24"/>
        </w:rPr>
        <w:t xml:space="preserve">I.4 Partner Indemnification</w:t>
      </w:r>
    </w:p>
    <w:p>
      <w:pPr>
        <w:spacing w:after="120"/>
      </w:pPr>
      <w:r>
        <w:rPr>
          <w:rFonts w:ascii="Arial" w:cs="Arial" w:eastAsia="Arial" w:hAnsi="Arial"/>
          <w:sz w:val="22"/>
          <w:szCs w:val="22"/>
        </w:rPr>
        <w:t xml:space="preserve">Partner shall defend, indemnify, and hold harmless Licensor and its members, managers, officers, employees, and agents from and against any claims, damages, losses, liabilities, costs, and expenses (including reasonable attorneys' fees) arising out of or relating to: (i) Partner's breach of this Agreement; (ii) Partner's violation of any applicable law or regulation; (iii) Partner's misrepresentation of the Platform to Authorized Users or third parties; (iv) any claim by an Authorized User arising from Partner's relationship with or services to that user; or (v) Partner's failure to obtain required consents from Authorized Users.</w:t>
      </w:r>
    </w:p>
    <w:p>
      <w:r>
        <w:t xml:space="preserve"/>
      </w:r>
    </w:p>
    <w:p>
      <w:pPr>
        <w:pStyle w:val="Heading2"/>
      </w:pPr>
      <w:r>
        <w:rPr>
          <w:rFonts w:ascii="Arial" w:cs="Arial" w:eastAsia="Arial" w:hAnsi="Arial"/>
          <w:b/>
          <w:bCs/>
          <w:color w:val="2E75B6"/>
          <w:sz w:val="24"/>
          <w:szCs w:val="24"/>
        </w:rPr>
        <w:t xml:space="preserve">I.5 Licensor Indemnification</w:t>
      </w:r>
    </w:p>
    <w:p>
      <w:pPr>
        <w:spacing w:after="120"/>
      </w:pPr>
      <w:r>
        <w:rPr>
          <w:rFonts w:ascii="Arial" w:cs="Arial" w:eastAsia="Arial" w:hAnsi="Arial"/>
          <w:sz w:val="22"/>
          <w:szCs w:val="22"/>
        </w:rPr>
        <w:t xml:space="preserve">Licensor shall defend, indemnify, and hold harmless Partner and its members, managers, officers, employees, and agents from and against any claims, damages, losses, liabilities, costs, and expenses (including reasonable attorneys' fees) arising out of or relating to: (i) a claim that the Platform, as provided by Licensor, infringes any valid U.S. patent, copyright, or trademark of a third party; or (ii) Licensor's gross negligence or willful misconduct in operating the Platform infrastructure.</w:t>
      </w:r>
    </w:p>
    <w:p>
      <w:r>
        <w:t xml:space="preserve"/>
      </w:r>
    </w:p>
    <w:p>
      <w:pPr>
        <w:pStyle w:val="Heading1"/>
      </w:pPr>
      <w:r>
        <w:rPr>
          <w:rFonts w:ascii="Arial" w:cs="Arial" w:eastAsia="Arial" w:hAnsi="Arial"/>
          <w:b/>
          <w:bCs/>
          <w:color w:val="1F4E79"/>
          <w:sz w:val="28"/>
          <w:szCs w:val="28"/>
        </w:rPr>
        <w:t xml:space="preserve">SECTION J — DISPUTE RESOLUTION</w:t>
      </w:r>
    </w:p>
    <w:p>
      <w:pPr>
        <w:pStyle w:val="Heading2"/>
      </w:pPr>
      <w:r>
        <w:rPr>
          <w:rFonts w:ascii="Arial" w:cs="Arial" w:eastAsia="Arial" w:hAnsi="Arial"/>
          <w:b/>
          <w:bCs/>
          <w:color w:val="2E75B6"/>
          <w:sz w:val="24"/>
          <w:szCs w:val="24"/>
        </w:rPr>
        <w:t xml:space="preserve">J.1 Governing Law</w:t>
      </w:r>
    </w:p>
    <w:p>
      <w:pPr>
        <w:spacing w:after="120"/>
      </w:pPr>
      <w:r>
        <w:rPr>
          <w:rFonts w:ascii="Arial" w:cs="Arial" w:eastAsia="Arial" w:hAnsi="Arial"/>
          <w:sz w:val="22"/>
          <w:szCs w:val="22"/>
        </w:rPr>
        <w:t xml:space="preserve">This Agreement shall be governed by and construed in accordance with the laws of the State of Arkansas, without regard to its conflict of law provisions.</w:t>
      </w:r>
    </w:p>
    <w:p>
      <w:r>
        <w:t xml:space="preserve"/>
      </w:r>
    </w:p>
    <w:p>
      <w:pPr>
        <w:pStyle w:val="Heading2"/>
      </w:pPr>
      <w:r>
        <w:rPr>
          <w:rFonts w:ascii="Arial" w:cs="Arial" w:eastAsia="Arial" w:hAnsi="Arial"/>
          <w:b/>
          <w:bCs/>
          <w:color w:val="2E75B6"/>
          <w:sz w:val="24"/>
          <w:szCs w:val="24"/>
        </w:rPr>
        <w:t xml:space="preserve">J.2 Good-Faith Negotiation</w:t>
      </w:r>
    </w:p>
    <w:p>
      <w:pPr>
        <w:spacing w:after="120"/>
      </w:pPr>
      <w:r>
        <w:rPr>
          <w:rFonts w:ascii="Arial" w:cs="Arial" w:eastAsia="Arial" w:hAnsi="Arial"/>
          <w:sz w:val="22"/>
          <w:szCs w:val="22"/>
        </w:rPr>
        <w:t xml:space="preserve">Before initiating arbitration, the parties agree to attempt to resolve any dispute arising out of or relating to this Agreement through good-faith negotiation for a period of thirty (30) days following written notice of the dispute from one party to the other.</w:t>
      </w:r>
    </w:p>
    <w:p>
      <w:r>
        <w:t xml:space="preserve"/>
      </w:r>
    </w:p>
    <w:p>
      <w:pPr>
        <w:pStyle w:val="Heading2"/>
      </w:pPr>
      <w:r>
        <w:rPr>
          <w:rFonts w:ascii="Arial" w:cs="Arial" w:eastAsia="Arial" w:hAnsi="Arial"/>
          <w:b/>
          <w:bCs/>
          <w:color w:val="2E75B6"/>
          <w:sz w:val="24"/>
          <w:szCs w:val="24"/>
        </w:rPr>
        <w:t xml:space="preserve">J.3 Binding Arbitration</w:t>
      </w:r>
    </w:p>
    <w:p>
      <w:pPr>
        <w:spacing w:after="120"/>
      </w:pPr>
      <w:r>
        <w:rPr>
          <w:rFonts w:ascii="Arial" w:cs="Arial" w:eastAsia="Arial" w:hAnsi="Arial"/>
          <w:sz w:val="22"/>
          <w:szCs w:val="22"/>
        </w:rPr>
        <w:t xml:space="preserve">EXCEPT AS PROVIDED IN SECTION J.5, ANY DISPUTE, CONTROVERSY, OR CLAIM ARISING OUT OF OR RELATING TO THIS AGREEMENT, OR THE BREACH, TERMINATION, OR VALIDITY THEREOF, THAT IS NOT RESOLVED THROUGH GOOD-FAITH NEGOTIATION UNDER SECTION J.2, SHALL BE FINALLY SETTLED BY BINDING ARBITRATION ADMINISTERED BY THE AMERICAN ARBITRATION ASSOCIATION ("AAA") UNDER ITS COMMERCIAL ARBITRATION RULES.</w:t>
      </w:r>
    </w:p>
    <w:p>
      <w:r>
        <w:t xml:space="preserve"/>
      </w:r>
    </w:p>
    <w:p>
      <w:pPr>
        <w:spacing w:after="120"/>
      </w:pPr>
      <w:r>
        <w:rPr>
          <w:rFonts w:ascii="Arial" w:cs="Arial" w:eastAsia="Arial" w:hAnsi="Arial"/>
          <w:sz w:val="22"/>
          <w:szCs w:val="22"/>
        </w:rPr>
        <w:t xml:space="preserve">The arbitration shall be conducted by a single arbitrator. The seat of arbitration shall be Bentonville, Arkansas; the proceedings may be conducted remotely by mutual agreement. The arbitrator's award shall be final and binding, and judgment on the award may be entered in any court of competent jurisdiction.</w:t>
      </w:r>
    </w:p>
    <w:p>
      <w:r>
        <w:t xml:space="preserve"/>
      </w:r>
    </w:p>
    <w:p>
      <w:pPr>
        <w:pStyle w:val="Heading2"/>
      </w:pPr>
      <w:r>
        <w:rPr>
          <w:rFonts w:ascii="Arial" w:cs="Arial" w:eastAsia="Arial" w:hAnsi="Arial"/>
          <w:b/>
          <w:bCs/>
          <w:color w:val="2E75B6"/>
          <w:sz w:val="24"/>
          <w:szCs w:val="24"/>
        </w:rPr>
        <w:t xml:space="preserve">J.4 Fees and Costs</w:t>
      </w:r>
    </w:p>
    <w:p>
      <w:pPr>
        <w:spacing w:after="120"/>
      </w:pPr>
      <w:r>
        <w:rPr>
          <w:rFonts w:ascii="Arial" w:cs="Arial" w:eastAsia="Arial" w:hAnsi="Arial"/>
          <w:sz w:val="22"/>
          <w:szCs w:val="22"/>
        </w:rPr>
        <w:t xml:space="preserve">The prevailing party in any arbitration conducted under this Section J shall be entitled to recover its reasonable attorneys' fees and arbitration costs from the non-prevailing party, unless the arbitrator determines that such an award would be unjust under the circumstances.</w:t>
      </w:r>
    </w:p>
    <w:p>
      <w:r>
        <w:t xml:space="preserve"/>
      </w:r>
    </w:p>
    <w:p>
      <w:pPr>
        <w:pStyle w:val="Heading2"/>
      </w:pPr>
      <w:r>
        <w:rPr>
          <w:rFonts w:ascii="Arial" w:cs="Arial" w:eastAsia="Arial" w:hAnsi="Arial"/>
          <w:b/>
          <w:bCs/>
          <w:color w:val="2E75B6"/>
          <w:sz w:val="24"/>
          <w:szCs w:val="24"/>
        </w:rPr>
        <w:t xml:space="preserve">J.5 Injunctive Relief</w:t>
      </w:r>
    </w:p>
    <w:p>
      <w:pPr>
        <w:spacing w:after="120"/>
      </w:pPr>
      <w:r>
        <w:rPr>
          <w:rFonts w:ascii="Arial" w:cs="Arial" w:eastAsia="Arial" w:hAnsi="Arial"/>
          <w:sz w:val="22"/>
          <w:szCs w:val="22"/>
        </w:rPr>
        <w:t xml:space="preserve">Notwithstanding Section J.3, either party may seek emergency or preliminary injunctive relief from a court of competent jurisdiction in Benton County, Arkansas to prevent irreparable harm pending resolution of a dispute, including but not limited to violations of Section G (Intellectual Property) or Section B.2 (License Restrictions).</w:t>
      </w:r>
    </w:p>
    <w:p>
      <w:r>
        <w:t xml:space="preserve"/>
      </w:r>
    </w:p>
    <w:p>
      <w:pPr>
        <w:pStyle w:val="Heading2"/>
      </w:pPr>
      <w:r>
        <w:rPr>
          <w:rFonts w:ascii="Arial" w:cs="Arial" w:eastAsia="Arial" w:hAnsi="Arial"/>
          <w:b/>
          <w:bCs/>
          <w:color w:val="2E75B6"/>
          <w:sz w:val="24"/>
          <w:szCs w:val="24"/>
        </w:rPr>
        <w:t xml:space="preserve">J.6 Class Action Waiver</w:t>
      </w:r>
    </w:p>
    <w:p>
      <w:pPr>
        <w:spacing w:after="120"/>
      </w:pPr>
      <w:r>
        <w:rPr>
          <w:rFonts w:ascii="Arial" w:cs="Arial" w:eastAsia="Arial" w:hAnsi="Arial"/>
          <w:sz w:val="22"/>
          <w:szCs w:val="22"/>
        </w:rPr>
        <w:t xml:space="preserve">EACH PARTY WAIVES ITS RIGHT TO PARTICIPATE IN A CLASS ACTION, CLASS ARBITRATION, OR OTHER REPRESENTATIVE PROCEEDING WITH RESPECT TO ANY CLAIM ARISING UNDER OR RELATED TO THIS AGREEMENT.</w:t>
      </w:r>
    </w:p>
    <w:p>
      <w:r>
        <w:t xml:space="preserve"/>
      </w:r>
    </w:p>
    <w:p>
      <w:pPr>
        <w:pStyle w:val="Heading1"/>
      </w:pPr>
      <w:r>
        <w:rPr>
          <w:rFonts w:ascii="Arial" w:cs="Arial" w:eastAsia="Arial" w:hAnsi="Arial"/>
          <w:b/>
          <w:bCs/>
          <w:color w:val="1F4E79"/>
          <w:sz w:val="28"/>
          <w:szCs w:val="28"/>
        </w:rPr>
        <w:t xml:space="preserve">SECTION K — GENERAL PROVISIONS</w:t>
      </w:r>
    </w:p>
    <w:p>
      <w:pPr>
        <w:pStyle w:val="Heading2"/>
      </w:pPr>
      <w:r>
        <w:rPr>
          <w:rFonts w:ascii="Arial" w:cs="Arial" w:eastAsia="Arial" w:hAnsi="Arial"/>
          <w:b/>
          <w:bCs/>
          <w:color w:val="2E75B6"/>
          <w:sz w:val="24"/>
          <w:szCs w:val="24"/>
        </w:rPr>
        <w:t xml:space="preserve">K.1 Entire Agreement</w:t>
      </w:r>
    </w:p>
    <w:p>
      <w:pPr>
        <w:spacing w:after="120"/>
      </w:pPr>
      <w:r>
        <w:rPr>
          <w:rFonts w:ascii="Arial" w:cs="Arial" w:eastAsia="Arial" w:hAnsi="Arial"/>
          <w:sz w:val="22"/>
          <w:szCs w:val="22"/>
        </w:rPr>
        <w:t xml:space="preserve">This Agreement, together with Exhibit A (Pricing and Tier Terms) and any executed addenda, constitutes the entire agreement between the parties with respect to the subject matter hereof and supersedes all prior and contemporaneous understandings, agreements, representations, and warranties, both written and oral.</w:t>
      </w:r>
    </w:p>
    <w:p>
      <w:r>
        <w:t xml:space="preserve"/>
      </w:r>
    </w:p>
    <w:p>
      <w:pPr>
        <w:pStyle w:val="Heading2"/>
      </w:pPr>
      <w:r>
        <w:rPr>
          <w:rFonts w:ascii="Arial" w:cs="Arial" w:eastAsia="Arial" w:hAnsi="Arial"/>
          <w:b/>
          <w:bCs/>
          <w:color w:val="2E75B6"/>
          <w:sz w:val="24"/>
          <w:szCs w:val="24"/>
        </w:rPr>
        <w:t xml:space="preserve">K.2 Amendments</w:t>
      </w:r>
    </w:p>
    <w:p>
      <w:pPr>
        <w:spacing w:after="120"/>
      </w:pPr>
      <w:r>
        <w:rPr>
          <w:rFonts w:ascii="Arial" w:cs="Arial" w:eastAsia="Arial" w:hAnsi="Arial"/>
          <w:sz w:val="22"/>
          <w:szCs w:val="22"/>
        </w:rPr>
        <w:t xml:space="preserve">No amendment or modification of this Agreement shall be effective unless made in writing and signed by authorized representatives of both parties. Licensor may update Exhibit A pricing with thirty (30) days written notice to Partner.</w:t>
      </w:r>
    </w:p>
    <w:p>
      <w:r>
        <w:t xml:space="preserve"/>
      </w:r>
    </w:p>
    <w:p>
      <w:pPr>
        <w:pStyle w:val="Heading2"/>
      </w:pPr>
      <w:r>
        <w:rPr>
          <w:rFonts w:ascii="Arial" w:cs="Arial" w:eastAsia="Arial" w:hAnsi="Arial"/>
          <w:b/>
          <w:bCs/>
          <w:color w:val="2E75B6"/>
          <w:sz w:val="24"/>
          <w:szCs w:val="24"/>
        </w:rPr>
        <w:t xml:space="preserve">K.3 Assignment</w:t>
      </w:r>
    </w:p>
    <w:p>
      <w:pPr>
        <w:spacing w:after="120"/>
      </w:pPr>
      <w:r>
        <w:rPr>
          <w:rFonts w:ascii="Arial" w:cs="Arial" w:eastAsia="Arial" w:hAnsi="Arial"/>
          <w:sz w:val="22"/>
          <w:szCs w:val="22"/>
        </w:rPr>
        <w:t xml:space="preserve">Partner may not assign, transfer, or delegate any of its rights or obligations under this Agreement, in whole or in part, without Licensor's prior written consent, which may be withheld in Licensor's sole discretion. Any purported assignment in violation of this Section shall be null and void. Licensor may assign this Agreement in connection with a merger, acquisition, or sale of substantially all of Licensor's assets without Partner's consent.</w:t>
      </w:r>
    </w:p>
    <w:p>
      <w:r>
        <w:t xml:space="preserve"/>
      </w:r>
    </w:p>
    <w:p>
      <w:pPr>
        <w:pStyle w:val="Heading2"/>
      </w:pPr>
      <w:r>
        <w:rPr>
          <w:rFonts w:ascii="Arial" w:cs="Arial" w:eastAsia="Arial" w:hAnsi="Arial"/>
          <w:b/>
          <w:bCs/>
          <w:color w:val="2E75B6"/>
          <w:sz w:val="24"/>
          <w:szCs w:val="24"/>
        </w:rPr>
        <w:t xml:space="preserve">K.4 Force Majeure</w:t>
      </w:r>
    </w:p>
    <w:p>
      <w:pPr>
        <w:spacing w:after="120"/>
      </w:pPr>
      <w:r>
        <w:rPr>
          <w:rFonts w:ascii="Arial" w:cs="Arial" w:eastAsia="Arial" w:hAnsi="Arial"/>
          <w:sz w:val="22"/>
          <w:szCs w:val="22"/>
        </w:rPr>
        <w:t xml:space="preserve">Neither party shall be in breach of this Agreement, nor liable for any failure or delay in the performance of its obligations under this Agreement, to the extent that such failure or delay results from causes beyond that party's reasonable control, including natural disasters, acts of government, infrastructure failures, or third-party service outages.</w:t>
      </w:r>
    </w:p>
    <w:p>
      <w:r>
        <w:t xml:space="preserve"/>
      </w:r>
    </w:p>
    <w:p>
      <w:pPr>
        <w:pStyle w:val="Heading2"/>
      </w:pPr>
      <w:r>
        <w:rPr>
          <w:rFonts w:ascii="Arial" w:cs="Arial" w:eastAsia="Arial" w:hAnsi="Arial"/>
          <w:b/>
          <w:bCs/>
          <w:color w:val="2E75B6"/>
          <w:sz w:val="24"/>
          <w:szCs w:val="24"/>
        </w:rPr>
        <w:t xml:space="preserve">K.5 Notices</w:t>
      </w:r>
    </w:p>
    <w:p>
      <w:pPr>
        <w:spacing w:after="120"/>
      </w:pPr>
      <w:r>
        <w:rPr>
          <w:rFonts w:ascii="Arial" w:cs="Arial" w:eastAsia="Arial" w:hAnsi="Arial"/>
          <w:sz w:val="22"/>
          <w:szCs w:val="22"/>
        </w:rPr>
        <w:t xml:space="preserve">All notices required or permitted under this Agreement shall be in writing and delivered by email with confirmation of receipt to the notice email addresses set forth in the signature block below. Notices are effective upon confirmed receipt.</w:t>
      </w:r>
    </w:p>
    <w:p>
      <w:r>
        <w:t xml:space="preserve"/>
      </w:r>
    </w:p>
    <w:p>
      <w:pPr>
        <w:pStyle w:val="Heading2"/>
      </w:pPr>
      <w:r>
        <w:rPr>
          <w:rFonts w:ascii="Arial" w:cs="Arial" w:eastAsia="Arial" w:hAnsi="Arial"/>
          <w:b/>
          <w:bCs/>
          <w:color w:val="2E75B6"/>
          <w:sz w:val="24"/>
          <w:szCs w:val="24"/>
        </w:rPr>
        <w:t xml:space="preserve">K.6 Severability</w:t>
      </w:r>
    </w:p>
    <w:p>
      <w:pPr>
        <w:spacing w:after="120"/>
      </w:pPr>
      <w:r>
        <w:rPr>
          <w:rFonts w:ascii="Arial" w:cs="Arial" w:eastAsia="Arial" w:hAnsi="Arial"/>
          <w:sz w:val="22"/>
          <w:szCs w:val="22"/>
        </w:rPr>
        <w:t xml:space="preserve">If any provision of this Agreement is held invalid, illegal, or unenforceable by a court or arbitrator of competent jurisdiction, such provision shall be modified to the minimum extent necessary to make it valid and enforceable, and the remaining provisions shall continue in full force and effect.</w:t>
      </w:r>
    </w:p>
    <w:p>
      <w:r>
        <w:t xml:space="preserve"/>
      </w:r>
    </w:p>
    <w:p>
      <w:pPr>
        <w:pStyle w:val="Heading2"/>
      </w:pPr>
      <w:r>
        <w:rPr>
          <w:rFonts w:ascii="Arial" w:cs="Arial" w:eastAsia="Arial" w:hAnsi="Arial"/>
          <w:b/>
          <w:bCs/>
          <w:color w:val="2E75B6"/>
          <w:sz w:val="24"/>
          <w:szCs w:val="24"/>
        </w:rPr>
        <w:t xml:space="preserve">K.7 Waiver</w:t>
      </w:r>
    </w:p>
    <w:p>
      <w:pPr>
        <w:spacing w:after="120"/>
      </w:pPr>
      <w:r>
        <w:rPr>
          <w:rFonts w:ascii="Arial" w:cs="Arial" w:eastAsia="Arial" w:hAnsi="Arial"/>
          <w:sz w:val="22"/>
          <w:szCs w:val="22"/>
        </w:rPr>
        <w:t xml:space="preserve">No failure or delay by either party in exercising any right under this Agreement shall constitute a waiver of that right. No waiver of any breach shall be deemed a waiver of any subsequent breach.</w:t>
      </w:r>
    </w:p>
    <w:p>
      <w:r>
        <w:t xml:space="preserve"/>
      </w:r>
    </w:p>
    <w:p>
      <w:pPr>
        <w:pStyle w:val="Heading2"/>
      </w:pPr>
      <w:r>
        <w:rPr>
          <w:rFonts w:ascii="Arial" w:cs="Arial" w:eastAsia="Arial" w:hAnsi="Arial"/>
          <w:b/>
          <w:bCs/>
          <w:color w:val="2E75B6"/>
          <w:sz w:val="24"/>
          <w:szCs w:val="24"/>
        </w:rPr>
        <w:t xml:space="preserve">K.8 Counterparts and Electronic Signatures</w:t>
      </w:r>
    </w:p>
    <w:p>
      <w:pPr>
        <w:spacing w:after="120"/>
      </w:pPr>
      <w:r>
        <w:rPr>
          <w:rFonts w:ascii="Arial" w:cs="Arial" w:eastAsia="Arial" w:hAnsi="Arial"/>
          <w:sz w:val="22"/>
          <w:szCs w:val="22"/>
        </w:rPr>
        <w:t xml:space="preserve">This Agreement may be executed in counterparts, each of which shall constitute an original, and all of which together shall constitute one and the same instrument. Electronic signatures (including DocuSign and similar platforms) shall be deemed valid and binding.</w:t>
      </w:r>
    </w:p>
    <w:p>
      <w:r>
        <w:t xml:space="preserve"/>
      </w:r>
    </w:p>
    <w:p>
      <w:pPr>
        <w:pStyle w:val="Heading2"/>
      </w:pPr>
      <w:r>
        <w:rPr>
          <w:rFonts w:ascii="Arial" w:cs="Arial" w:eastAsia="Arial" w:hAnsi="Arial"/>
          <w:b/>
          <w:bCs/>
          <w:color w:val="2E75B6"/>
          <w:sz w:val="24"/>
          <w:szCs w:val="24"/>
        </w:rPr>
        <w:t xml:space="preserve">K.9 Independent Contractors</w:t>
      </w:r>
    </w:p>
    <w:p>
      <w:pPr>
        <w:spacing w:after="120"/>
      </w:pPr>
      <w:r>
        <w:rPr>
          <w:rFonts w:ascii="Arial" w:cs="Arial" w:eastAsia="Arial" w:hAnsi="Arial"/>
          <w:sz w:val="22"/>
          <w:szCs w:val="22"/>
        </w:rPr>
        <w:t xml:space="preserve">The parties are independent contractors. Nothing in this Agreement creates any partnership, joint venture, agency, franchise, or employment relationship between the parties.</w:t>
      </w:r>
    </w:p>
    <w:p>
      <w:r>
        <w:t xml:space="preserve"/>
      </w:r>
    </w:p>
    <w:p>
      <w:pPr>
        <w:pStyle w:val="Heading1"/>
      </w:pPr>
      <w:r>
        <w:rPr>
          <w:rFonts w:ascii="Arial" w:cs="Arial" w:eastAsia="Arial" w:hAnsi="Arial"/>
          <w:b/>
          <w:bCs/>
          <w:color w:val="1F4E79"/>
          <w:sz w:val="28"/>
          <w:szCs w:val="28"/>
        </w:rPr>
        <w:t xml:space="preserve">SIGNATURES</w:t>
      </w:r>
    </w:p>
    <w:p>
      <w:pPr>
        <w:spacing w:after="120"/>
      </w:pPr>
      <w:r>
        <w:rPr>
          <w:rFonts w:ascii="Arial" w:cs="Arial" w:eastAsia="Arial" w:hAnsi="Arial"/>
          <w:sz w:val="22"/>
          <w:szCs w:val="22"/>
        </w:rPr>
        <w:t xml:space="preserve">IN WITNESS WHEREOF, the parties have executed this Partner Licensing Agreement as of the Effective Date.</w:t>
      </w:r>
    </w:p>
    <w:p>
      <w:r>
        <w:t xml:space="preserve"/>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Arial" w:cs="Arial" w:eastAsia="Arial" w:hAnsi="Arial"/>
                <w:b/>
                <w:bCs/>
                <w:sz w:val="22"/>
                <w:szCs w:val="22"/>
              </w:rPr>
              <w:t xml:space="preserve">LICENSOR</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Arial" w:cs="Arial" w:eastAsia="Arial" w:hAnsi="Arial"/>
                <w:b/>
                <w:bCs/>
                <w:sz w:val="22"/>
                <w:szCs w:val="22"/>
              </w:rPr>
              <w:t xml:space="preserve">PARTNER</w:t>
            </w:r>
          </w:p>
        </w:tc>
      </w:tr>
      <w:tr>
        <w:tc>
          <w:tcPr>
            <w:tcW w:type="dxa" w:w="4500"/>
            <w:tcBorders>
              <w:top w:val="none" w:color="FFFFFF" w:sz="0"/>
              <w:left w:val="none" w:color="FFFFFF" w:sz="0"/>
              <w:bottom w:val="none" w:color="FFFFFF" w:sz="0"/>
              <w:right w:val="none" w:color="FFFFFF" w:sz="0"/>
            </w:tcBorders>
            <w:tcMar>
              <w:top w:type="dxa" w:w="40"/>
              <w:left w:type="dxa" w:w="0"/>
              <w:bottom w:type="dxa" w:w="0"/>
              <w:right w:type="dxa" w:w="0"/>
            </w:tcMar>
          </w:tcPr>
          <w:p>
            <w:r>
              <w:rPr>
                <w:rFonts w:ascii="Arial" w:cs="Arial" w:eastAsia="Arial" w:hAnsi="Arial"/>
                <w:sz w:val="22"/>
                <w:szCs w:val="22"/>
              </w:rPr>
              <w:t xml:space="preserve">EmpowerStrat LLC</w:t>
            </w:r>
          </w:p>
          <w:p>
            <w:r>
              <w:rPr>
                <w:rFonts w:ascii="Arial" w:cs="Arial" w:eastAsia="Arial" w:hAnsi="Arial"/>
                <w:sz w:val="22"/>
                <w:szCs w:val="22"/>
              </w:rPr>
              <w:t xml:space="preserve">d/b/a Anchor the Coach</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Mar>
              <w:top w:type="dxa" w:w="40"/>
              <w:left w:type="dxa" w:w="0"/>
              <w:bottom w:type="dxa" w:w="0"/>
              <w:right w:type="dxa" w:w="0"/>
            </w:tcMar>
          </w:tcPr>
          <w:p>
            <w:r>
              <w:rPr>
                <w:rFonts w:ascii="Arial" w:cs="Arial" w:eastAsia="Arial" w:hAnsi="Arial"/>
                <w:i/>
                <w:iCs/>
                <w:color w:val="888888"/>
                <w:sz w:val="22"/>
                <w:szCs w:val="22"/>
              </w:rPr>
              <w:t xml:space="preserve">[PARTNER LEGAL ENTITY NAME]</w:t>
            </w:r>
          </w:p>
          <w:p>
            <w:r>
              <w:rPr>
                <w:rFonts w:ascii="Arial" w:cs="Arial" w:eastAsia="Arial" w:hAnsi="Arial"/>
                <w:i/>
                <w:iCs/>
                <w:color w:val="888888"/>
                <w:sz w:val="22"/>
                <w:szCs w:val="22"/>
              </w:rPr>
              <w:t xml:space="preserve">[STATE] [ENTITY TYPE]</w:t>
            </w:r>
          </w:p>
        </w:tc>
      </w:tr>
      <w:tr>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320" w:after="80"/>
            </w:pPr>
            <w:r>
              <w:rPr>
                <w:rFonts w:ascii="Arial" w:cs="Arial" w:eastAsia="Arial" w:hAnsi="Arial"/>
                <w:color w:val="666666"/>
                <w:sz w:val="20"/>
                <w:szCs w:val="20"/>
              </w:rPr>
              <w:t xml:space="preserve">Signature:</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320" w:after="80"/>
            </w:pPr>
            <w:r>
              <w:rPr>
                <w:rFonts w:ascii="Arial" w:cs="Arial" w:eastAsia="Arial" w:hAnsi="Arial"/>
                <w:color w:val="666666"/>
                <w:sz w:val="20"/>
                <w:szCs w:val="20"/>
              </w:rPr>
              <w:t xml:space="preserve">Signature:</w:t>
            </w:r>
          </w:p>
        </w:tc>
      </w:tr>
      <w:tr>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320" w:after="80"/>
            </w:pPr>
            <w:r>
              <w:rPr>
                <w:rFonts w:ascii="Arial" w:cs="Arial" w:eastAsia="Arial" w:hAnsi="Arial"/>
                <w:color w:val="666666"/>
                <w:sz w:val="20"/>
                <w:szCs w:val="20"/>
              </w:rPr>
              <w:t xml:space="preserve">Printed Name:</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320" w:after="80"/>
            </w:pPr>
            <w:r>
              <w:rPr>
                <w:rFonts w:ascii="Arial" w:cs="Arial" w:eastAsia="Arial" w:hAnsi="Arial"/>
                <w:color w:val="666666"/>
                <w:sz w:val="20"/>
                <w:szCs w:val="20"/>
              </w:rPr>
              <w:t xml:space="preserve">Printed Name:</w:t>
            </w:r>
          </w:p>
        </w:tc>
      </w:tr>
      <w:tr>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320" w:after="80"/>
            </w:pPr>
            <w:r>
              <w:rPr>
                <w:rFonts w:ascii="Arial" w:cs="Arial" w:eastAsia="Arial" w:hAnsi="Arial"/>
                <w:color w:val="666666"/>
                <w:sz w:val="20"/>
                <w:szCs w:val="20"/>
              </w:rPr>
              <w:t xml:space="preserve">Title:</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320" w:after="80"/>
            </w:pPr>
            <w:r>
              <w:rPr>
                <w:rFonts w:ascii="Arial" w:cs="Arial" w:eastAsia="Arial" w:hAnsi="Arial"/>
                <w:color w:val="666666"/>
                <w:sz w:val="20"/>
                <w:szCs w:val="20"/>
              </w:rPr>
              <w:t xml:space="preserve">Title:</w:t>
            </w:r>
          </w:p>
        </w:tc>
      </w:tr>
      <w:tr>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320" w:after="80"/>
            </w:pPr>
            <w:r>
              <w:rPr>
                <w:rFonts w:ascii="Arial" w:cs="Arial" w:eastAsia="Arial" w:hAnsi="Arial"/>
                <w:color w:val="666666"/>
                <w:sz w:val="20"/>
                <w:szCs w:val="20"/>
              </w:rPr>
              <w:t xml:space="preserve">Date:</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320" w:after="80"/>
            </w:pPr>
            <w:r>
              <w:rPr>
                <w:rFonts w:ascii="Arial" w:cs="Arial" w:eastAsia="Arial" w:hAnsi="Arial"/>
                <w:color w:val="666666"/>
                <w:sz w:val="20"/>
                <w:szCs w:val="20"/>
              </w:rPr>
              <w:t xml:space="preserve">Date:</w:t>
            </w:r>
          </w:p>
        </w:tc>
      </w:tr>
      <w:tr>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320" w:after="80"/>
            </w:pPr>
            <w:r>
              <w:rPr>
                <w:rFonts w:ascii="Arial" w:cs="Arial" w:eastAsia="Arial" w:hAnsi="Arial"/>
                <w:color w:val="666666"/>
                <w:sz w:val="20"/>
                <w:szCs w:val="20"/>
              </w:rPr>
              <w:t xml:space="preserve">Notice Email Address:</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320" w:after="80"/>
            </w:pPr>
            <w:r>
              <w:rPr>
                <w:rFonts w:ascii="Arial" w:cs="Arial" w:eastAsia="Arial" w:hAnsi="Arial"/>
                <w:color w:val="666666"/>
                <w:sz w:val="20"/>
                <w:szCs w:val="20"/>
              </w:rPr>
              <w:t xml:space="preserve">Notice Email Address:</w:t>
            </w:r>
          </w:p>
        </w:tc>
      </w:tr>
    </w:tbl>
    <w:p>
      <w:r>
        <w:br w:type="page"/>
      </w:r>
    </w:p>
    <w:p>
      <w:pPr>
        <w:spacing w:before="480" w:after="240"/>
        <w:jc w:val="center"/>
      </w:pPr>
      <w:r>
        <w:rPr>
          <w:rFonts w:ascii="Arial" w:cs="Arial" w:eastAsia="Arial" w:hAnsi="Arial"/>
          <w:b/>
          <w:bCs/>
          <w:color w:val="1F4E79"/>
          <w:sz w:val="32"/>
          <w:szCs w:val="32"/>
        </w:rPr>
        <w:t xml:space="preserve">EXHIBIT A — PRICING AND TIER TERMS</w:t>
      </w:r>
    </w:p>
    <w:p>
      <w:pPr>
        <w:spacing w:after="120"/>
      </w:pPr>
      <w:r>
        <w:rPr>
          <w:rFonts w:ascii="Arial" w:cs="Arial" w:eastAsia="Arial" w:hAnsi="Arial"/>
          <w:sz w:val="22"/>
          <w:szCs w:val="22"/>
        </w:rPr>
        <w:t xml:space="preserve">This Exhibit A is incorporated into the Partner Licensing Agreement by reference. All pricing is subject to applicable sales tax.</w:t>
      </w:r>
    </w:p>
    <w:p>
      <w:r>
        <w:t xml:space="preserve"/>
      </w:r>
    </w:p>
    <w:p>
      <w:pPr>
        <w:spacing w:after="120"/>
      </w:pPr>
      <w:r>
        <w:rPr>
          <w:rFonts w:ascii="Arial" w:cs="Arial" w:eastAsia="Arial" w:hAnsi="Arial"/>
          <w:b/>
          <w:bCs/>
          <w:sz w:val="22"/>
          <w:szCs w:val="22"/>
        </w:rPr>
        <w:t xml:space="preserve">A.1 Partner Tiers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2000"/>
        <w:gridCol w:w="1680"/>
        <w:gridCol w:w="1480"/>
      </w:tblGrid>
      <w:tr>
        <w:tc>
          <w:tcPr>
            <w:tcW w:type="dxa" w:w="220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Tier</w:t>
            </w:r>
          </w:p>
        </w:tc>
        <w:tc>
          <w:tcPr>
            <w:tcW w:type="dxa" w:w="200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Setup Fee</w:t>
            </w:r>
          </w:p>
        </w:tc>
        <w:tc>
          <w:tcPr>
            <w:tcW w:type="dxa" w:w="200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Monthly Platform Fee</w:t>
            </w:r>
          </w:p>
        </w:tc>
        <w:tc>
          <w:tcPr>
            <w:tcW w:type="dxa" w:w="168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Minimum Seats</w:t>
            </w:r>
          </w:p>
        </w:tc>
        <w:tc>
          <w:tcPr>
            <w:tcW w:type="dxa" w:w="148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Per-User Rate</w:t>
            </w:r>
          </w:p>
        </w:tc>
      </w:tr>
      <w:tr>
        <w:tc>
          <w:tcPr>
            <w:tcW w:type="dxa" w:w="2200"/>
            <w:tcBorders>
              <w:top w:val="single" w:color="CCCCCC" w:sz="1"/>
              <w:left w:val="single" w:color="CCCCCC" w:sz="1"/>
              <w:bottom w:val="single" w:color="CCCCCC" w:sz="1"/>
              <w:right w:val="single" w:color="CCCCCC" w:sz="1"/>
            </w:tcBorders>
            <w:shd w:fill="EBF2FA" w:val="clear"/>
            <w:tcMar>
              <w:top w:type="dxa" w:w="100"/>
              <w:left w:type="dxa" w:w="140"/>
              <w:bottom w:type="dxa" w:w="100"/>
              <w:right w:type="dxa" w:w="140"/>
            </w:tcMar>
          </w:tcPr>
          <w:p>
            <w:r>
              <w:rPr>
                <w:rFonts w:ascii="Arial" w:cs="Arial" w:eastAsia="Arial" w:hAnsi="Arial"/>
                <w:b/>
                <w:bCs/>
                <w:sz w:val="20"/>
                <w:szCs w:val="20"/>
              </w:rPr>
              <w:t xml:space="preserve">Starter</w:t>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$1,499 (one-time)</w:t>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$319/mo</w:t>
            </w:r>
          </w:p>
        </w:tc>
        <w:tc>
          <w:tcPr>
            <w:tcW w:type="dxa" w:w="168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5 seats min</w:t>
            </w:r>
          </w:p>
        </w:tc>
        <w:tc>
          <w:tcPr>
            <w:tcW w:type="dxa" w:w="148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$36/seat/mo
(min 5 seats)</w:t>
            </w:r>
          </w:p>
        </w:tc>
      </w:tr>
      <w:tr>
        <w:tc>
          <w:tcPr>
            <w:tcW w:type="dxa" w:w="2200"/>
            <w:tcBorders>
              <w:top w:val="single" w:color="CCCCCC" w:sz="1"/>
              <w:left w:val="single" w:color="CCCCCC" w:sz="1"/>
              <w:bottom w:val="single" w:color="CCCCCC" w:sz="1"/>
              <w:right w:val="single" w:color="CCCCCC" w:sz="1"/>
            </w:tcBorders>
            <w:shd w:fill="EBF2FA" w:val="clear"/>
            <w:tcMar>
              <w:top w:type="dxa" w:w="100"/>
              <w:left w:type="dxa" w:w="140"/>
              <w:bottom w:type="dxa" w:w="100"/>
              <w:right w:type="dxa" w:w="140"/>
            </w:tcMar>
          </w:tcPr>
          <w:p>
            <w:r>
              <w:rPr>
                <w:rFonts w:ascii="Arial" w:cs="Arial" w:eastAsia="Arial" w:hAnsi="Arial"/>
                <w:b/>
                <w:bCs/>
                <w:sz w:val="20"/>
                <w:szCs w:val="20"/>
              </w:rPr>
              <w:t xml:space="preserve">Pro</w:t>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$1,499 (one-time)</w:t>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$749/mo</w:t>
            </w:r>
          </w:p>
        </w:tc>
        <w:tc>
          <w:tcPr>
            <w:tcW w:type="dxa" w:w="168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15 seats min</w:t>
            </w:r>
          </w:p>
        </w:tc>
        <w:tc>
          <w:tcPr>
            <w:tcW w:type="dxa" w:w="148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$52/seat/mo
(min 15 seats)</w:t>
            </w:r>
          </w:p>
        </w:tc>
      </w:tr>
      <w:tr>
        <w:tc>
          <w:tcPr>
            <w:tcW w:type="dxa" w:w="2200"/>
            <w:tcBorders>
              <w:top w:val="single" w:color="CCCCCC" w:sz="1"/>
              <w:left w:val="single" w:color="CCCCCC" w:sz="1"/>
              <w:bottom w:val="single" w:color="CCCCCC" w:sz="1"/>
              <w:right w:val="single" w:color="CCCCCC" w:sz="1"/>
            </w:tcBorders>
            <w:shd w:fill="EBF2FA" w:val="clear"/>
            <w:tcMar>
              <w:top w:type="dxa" w:w="100"/>
              <w:left w:type="dxa" w:w="140"/>
              <w:bottom w:type="dxa" w:w="100"/>
              <w:right w:type="dxa" w:w="140"/>
            </w:tcMar>
          </w:tcPr>
          <w:p>
            <w:r>
              <w:rPr>
                <w:rFonts w:ascii="Arial" w:cs="Arial" w:eastAsia="Arial" w:hAnsi="Arial"/>
                <w:b/>
                <w:bCs/>
                <w:sz w:val="20"/>
                <w:szCs w:val="20"/>
              </w:rPr>
              <w:t xml:space="preserve">Enterprise</w:t>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$1,499 (one-time)</w:t>
            </w:r>
          </w:p>
        </w:tc>
        <w:tc>
          <w:tcPr>
            <w:tcW w:type="dxa" w:w="20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$1,599/mo</w:t>
            </w:r>
          </w:p>
        </w:tc>
        <w:tc>
          <w:tcPr>
            <w:tcW w:type="dxa" w:w="168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40 seats min</w:t>
            </w:r>
          </w:p>
        </w:tc>
        <w:tc>
          <w:tcPr>
            <w:tcW w:type="dxa" w:w="148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0"/>
                <w:szCs w:val="20"/>
              </w:rPr>
              <w:t xml:space="preserve">$83/seat/mo (min 40 seats); $100/seat above minimum</w:t>
            </w:r>
          </w:p>
        </w:tc>
      </w:tr>
    </w:tbl>
    <w:p>
      <w:r>
        <w:t xml:space="preserve"/>
      </w:r>
    </w:p>
    <w:p>
      <w:pPr>
        <w:spacing w:after="120"/>
      </w:pPr>
      <w:r>
        <w:rPr>
          <w:rFonts w:ascii="Arial" w:cs="Arial" w:eastAsia="Arial" w:hAnsi="Arial"/>
          <w:b/>
          <w:bCs/>
          <w:sz w:val="22"/>
          <w:szCs w:val="22"/>
        </w:rPr>
        <w:t xml:space="preserve">A.2 Selected Tier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EBF2FA" w:val="clear"/>
            <w:tcMar>
              <w:top w:type="dxa" w:w="100"/>
              <w:left w:type="dxa" w:w="140"/>
              <w:bottom w:type="dxa" w:w="100"/>
              <w:right w:type="dxa" w:w="140"/>
            </w:tcMar>
          </w:tcPr>
          <w:p>
            <w:r>
              <w:rPr>
                <w:rFonts w:ascii="Arial" w:cs="Arial" w:eastAsia="Arial" w:hAnsi="Arial"/>
                <w:b/>
                <w:bCs/>
                <w:sz w:val="22"/>
                <w:szCs w:val="22"/>
              </w:rPr>
              <w:t xml:space="preserve">Partner's Selected Tier:</w:t>
            </w:r>
          </w:p>
        </w:tc>
        <w:tc>
          <w:tcPr>
            <w:tcW w:type="dxa" w:w="63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2"/>
                <w:szCs w:val="22"/>
              </w:rPr>
              <w:t xml:space="preserve">[ ] Starter     [ ] Pro     [ ] Enterprise</w:t>
            </w:r>
          </w:p>
        </w:tc>
      </w:tr>
      <w:tr>
        <w:tc>
          <w:tcPr>
            <w:tcW w:type="dxa" w:w="3000"/>
            <w:tcBorders>
              <w:top w:val="single" w:color="CCCCCC" w:sz="1"/>
              <w:left w:val="single" w:color="CCCCCC" w:sz="1"/>
              <w:bottom w:val="single" w:color="CCCCCC" w:sz="1"/>
              <w:right w:val="single" w:color="CCCCCC" w:sz="1"/>
            </w:tcBorders>
            <w:shd w:fill="EBF2FA" w:val="clear"/>
            <w:tcMar>
              <w:top w:type="dxa" w:w="100"/>
              <w:left w:type="dxa" w:w="140"/>
              <w:bottom w:type="dxa" w:w="100"/>
              <w:right w:type="dxa" w:w="140"/>
            </w:tcMar>
          </w:tcPr>
          <w:p>
            <w:r>
              <w:rPr>
                <w:rFonts w:ascii="Arial" w:cs="Arial" w:eastAsia="Arial" w:hAnsi="Arial"/>
                <w:b/>
                <w:bCs/>
                <w:sz w:val="22"/>
                <w:szCs w:val="22"/>
              </w:rPr>
              <w:t xml:space="preserve">Initial Active Seats:</w:t>
            </w:r>
          </w:p>
        </w:tc>
        <w:tc>
          <w:tcPr>
            <w:tcW w:type="dxa" w:w="63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2"/>
                <w:szCs w:val="22"/>
              </w:rPr>
              <w:t xml:space="preserve">_______</w:t>
            </w:r>
          </w:p>
        </w:tc>
      </w:tr>
    </w:tbl>
    <w:p>
      <w:r>
        <w:t xml:space="preserve"/>
      </w:r>
    </w:p>
    <w:p>
      <w:pPr>
        <w:spacing w:after="120"/>
      </w:pPr>
      <w:r>
        <w:rPr>
          <w:rFonts w:ascii="Arial" w:cs="Arial" w:eastAsia="Arial" w:hAnsi="Arial"/>
          <w:b/>
          <w:bCs/>
          <w:sz w:val="22"/>
          <w:szCs w:val="22"/>
        </w:rPr>
        <w:t xml:space="preserve">A.3 Minimum Resale Price Policy</w:t>
      </w:r>
    </w:p>
    <w:p>
      <w:pPr>
        <w:spacing w:after="120"/>
      </w:pPr>
      <w:r>
        <w:rPr>
          <w:rFonts w:ascii="Arial" w:cs="Arial" w:eastAsia="Arial" w:hAnsi="Arial"/>
          <w:sz w:val="22"/>
          <w:szCs w:val="22"/>
        </w:rPr>
        <w:t xml:space="preserve">Partner agrees that it will not charge Authorized Users less than the Minimum Resale Price applicable to its tier. This policy is enforced as a contractual obligation under Section C.6.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Tier</w:t>
            </w:r>
          </w:p>
        </w:tc>
        <w:tc>
          <w:tcPr>
            <w:tcW w:type="dxa" w:w="624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Minimum Resale Price (per Authorized User / month)</w:t>
            </w:r>
          </w:p>
        </w:tc>
      </w:tr>
      <w:tr>
        <w:tc>
          <w:tcPr>
            <w:tcW w:type="dxa" w:w="3120"/>
            <w:tcBorders>
              <w:top w:val="single" w:color="CCCCCC" w:sz="1"/>
              <w:left w:val="single" w:color="CCCCCC" w:sz="1"/>
              <w:bottom w:val="single" w:color="CCCCCC" w:sz="1"/>
              <w:right w:val="single" w:color="CCCCCC" w:sz="1"/>
            </w:tcBorders>
            <w:shd w:fill="F8FAFB" w:val="clear"/>
            <w:tcMar>
              <w:top w:type="dxa" w:w="100"/>
              <w:left w:type="dxa" w:w="140"/>
              <w:bottom w:type="dxa" w:w="100"/>
              <w:right w:type="dxa" w:w="140"/>
            </w:tcMar>
          </w:tcPr>
          <w:p>
            <w:r>
              <w:rPr>
                <w:rFonts w:ascii="Arial" w:cs="Arial" w:eastAsia="Arial" w:hAnsi="Arial"/>
                <w:sz w:val="22"/>
                <w:szCs w:val="22"/>
              </w:rPr>
              <w:t xml:space="preserve">Starter</w:t>
            </w:r>
          </w:p>
        </w:tc>
        <w:tc>
          <w:tcPr>
            <w:tcW w:type="dxa" w:w="6240"/>
            <w:tcBorders>
              <w:top w:val="single" w:color="CCCCCC" w:sz="1"/>
              <w:left w:val="single" w:color="CCCCCC" w:sz="1"/>
              <w:bottom w:val="single" w:color="CCCCCC" w:sz="1"/>
              <w:right w:val="single" w:color="CCCCCC" w:sz="1"/>
            </w:tcBorders>
            <w:shd w:fill="F8FAFB" w:val="clear"/>
            <w:tcMar>
              <w:top w:type="dxa" w:w="100"/>
              <w:left w:type="dxa" w:w="140"/>
              <w:bottom w:type="dxa" w:w="100"/>
              <w:right w:type="dxa" w:w="140"/>
            </w:tcMar>
          </w:tcPr>
          <w:p>
            <w:r>
              <w:rPr>
                <w:rFonts w:ascii="Arial" w:cs="Arial" w:eastAsia="Arial" w:hAnsi="Arial"/>
                <w:sz w:val="22"/>
                <w:szCs w:val="22"/>
              </w:rPr>
              <w:t xml:space="preserve">$49/user/month</w:t>
            </w:r>
          </w:p>
        </w:tc>
      </w:tr>
      <w:tr>
        <w:tc>
          <w:tcPr>
            <w:tcW w:type="dxa" w:w="3120"/>
            <w:tcBorders>
              <w:top w:val="single" w:color="CCCCCC" w:sz="1"/>
              <w:left w:val="single" w:color="CCCCCC" w:sz="1"/>
              <w:bottom w:val="single" w:color="CCCCCC" w:sz="1"/>
              <w:right w:val="single" w:color="CCCCCC" w:sz="1"/>
            </w:tcBorders>
            <w:shd w:fill="F8FAFB" w:val="clear"/>
            <w:tcMar>
              <w:top w:type="dxa" w:w="100"/>
              <w:left w:type="dxa" w:w="140"/>
              <w:bottom w:type="dxa" w:w="100"/>
              <w:right w:type="dxa" w:w="140"/>
            </w:tcMar>
          </w:tcPr>
          <w:p>
            <w:r>
              <w:rPr>
                <w:rFonts w:ascii="Arial" w:cs="Arial" w:eastAsia="Arial" w:hAnsi="Arial"/>
                <w:sz w:val="22"/>
                <w:szCs w:val="22"/>
              </w:rPr>
              <w:t xml:space="preserve">Pro</w:t>
            </w:r>
          </w:p>
        </w:tc>
        <w:tc>
          <w:tcPr>
            <w:tcW w:type="dxa" w:w="6240"/>
            <w:tcBorders>
              <w:top w:val="single" w:color="CCCCCC" w:sz="1"/>
              <w:left w:val="single" w:color="CCCCCC" w:sz="1"/>
              <w:bottom w:val="single" w:color="CCCCCC" w:sz="1"/>
              <w:right w:val="single" w:color="CCCCCC" w:sz="1"/>
            </w:tcBorders>
            <w:shd w:fill="F8FAFB" w:val="clear"/>
            <w:tcMar>
              <w:top w:type="dxa" w:w="100"/>
              <w:left w:type="dxa" w:w="140"/>
              <w:bottom w:type="dxa" w:w="100"/>
              <w:right w:type="dxa" w:w="140"/>
            </w:tcMar>
          </w:tcPr>
          <w:p>
            <w:r>
              <w:rPr>
                <w:rFonts w:ascii="Arial" w:cs="Arial" w:eastAsia="Arial" w:hAnsi="Arial"/>
                <w:sz w:val="22"/>
                <w:szCs w:val="22"/>
              </w:rPr>
              <w:t xml:space="preserve">$99/user/month</w:t>
            </w:r>
          </w:p>
        </w:tc>
      </w:tr>
      <w:tr>
        <w:tc>
          <w:tcPr>
            <w:tcW w:type="dxa" w:w="3120"/>
            <w:tcBorders>
              <w:top w:val="single" w:color="CCCCCC" w:sz="1"/>
              <w:left w:val="single" w:color="CCCCCC" w:sz="1"/>
              <w:bottom w:val="single" w:color="CCCCCC" w:sz="1"/>
              <w:right w:val="single" w:color="CCCCCC" w:sz="1"/>
            </w:tcBorders>
            <w:shd w:fill="F8FAFB" w:val="clear"/>
            <w:tcMar>
              <w:top w:type="dxa" w:w="100"/>
              <w:left w:type="dxa" w:w="140"/>
              <w:bottom w:type="dxa" w:w="100"/>
              <w:right w:type="dxa" w:w="140"/>
            </w:tcMar>
          </w:tcPr>
          <w:p>
            <w:r>
              <w:rPr>
                <w:rFonts w:ascii="Arial" w:cs="Arial" w:eastAsia="Arial" w:hAnsi="Arial"/>
                <w:sz w:val="22"/>
                <w:szCs w:val="22"/>
              </w:rPr>
              <w:t xml:space="preserve">Enterprise</w:t>
            </w:r>
          </w:p>
        </w:tc>
        <w:tc>
          <w:tcPr>
            <w:tcW w:type="dxa" w:w="6240"/>
            <w:tcBorders>
              <w:top w:val="single" w:color="CCCCCC" w:sz="1"/>
              <w:left w:val="single" w:color="CCCCCC" w:sz="1"/>
              <w:bottom w:val="single" w:color="CCCCCC" w:sz="1"/>
              <w:right w:val="single" w:color="CCCCCC" w:sz="1"/>
            </w:tcBorders>
            <w:shd w:fill="F8FAFB" w:val="clear"/>
            <w:tcMar>
              <w:top w:type="dxa" w:w="100"/>
              <w:left w:type="dxa" w:w="140"/>
              <w:bottom w:type="dxa" w:w="100"/>
              <w:right w:type="dxa" w:w="140"/>
            </w:tcMar>
          </w:tcPr>
          <w:p>
            <w:r>
              <w:rPr>
                <w:rFonts w:ascii="Arial" w:cs="Arial" w:eastAsia="Arial" w:hAnsi="Arial"/>
                <w:sz w:val="22"/>
                <w:szCs w:val="22"/>
              </w:rPr>
              <w:t xml:space="preserve">$149/user/month</w:t>
            </w:r>
          </w:p>
        </w:tc>
      </w:tr>
    </w:tbl>
    <w:p>
      <w:r>
        <w:br w:type="page"/>
      </w:r>
    </w:p>
    <w:p>
      <w:pPr>
        <w:spacing w:before="480" w:after="240"/>
        <w:jc w:val="center"/>
      </w:pPr>
      <w:r>
        <w:rPr>
          <w:rFonts w:ascii="Arial" w:cs="Arial" w:eastAsia="Arial" w:hAnsi="Arial"/>
          <w:b/>
          <w:bCs/>
          <w:color w:val="1F4E79"/>
          <w:sz w:val="32"/>
          <w:szCs w:val="32"/>
        </w:rPr>
        <w:t xml:space="preserve">EXHIBIT B — EARLY ADOPTER ADDENDUM</w:t>
      </w:r>
    </w:p>
    <w:p>
      <w:pPr>
        <w:spacing w:after="120"/>
      </w:pPr>
      <w:r>
        <w:rPr>
          <w:rFonts w:ascii="Arial" w:cs="Arial" w:eastAsia="Arial" w:hAnsi="Arial"/>
          <w:sz w:val="22"/>
          <w:szCs w:val="22"/>
        </w:rPr>
        <w:t xml:space="preserve">This Early Adopter Addendum ("Addendum") is entered into between EmpowerStrat LLC d/b/a Anchor the Coach ("Licensor") and Partner and is incorporated into the Partner Licensing Agreement by reference.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6"/>
              <w:left w:val="single" w:color="2E75B6" w:sz="16"/>
              <w:bottom w:val="single" w:color="2E75B6" w:sz="6"/>
              <w:right w:val="single" w:color="2E75B6" w:sz="6"/>
            </w:tcBorders>
            <w:shd w:fill="EBF2FA" w:val="clear"/>
            <w:tcMar>
              <w:top w:type="dxa" w:w="160"/>
              <w:left w:type="dxa" w:w="240"/>
              <w:bottom w:type="dxa" w:w="160"/>
              <w:right w:type="dxa" w:w="240"/>
            </w:tcMar>
          </w:tcPr>
          <w:p>
            <w:r>
              <w:rPr>
                <w:rFonts w:ascii="Arial" w:cs="Arial" w:eastAsia="Arial" w:hAnsi="Arial"/>
                <w:sz w:val="22"/>
                <w:szCs w:val="22"/>
              </w:rPr>
              <w:t xml:space="preserve">This Addendum applies only to Partners who execute the Agreement and pay the Setup Fee on or before:</w:t>
            </w:r>
          </w:p>
          <w:p>
            <w:pPr>
              <w:spacing w:after="0"/>
            </w:pPr>
            <w:r>
              <w:rPr>
                <w:rFonts w:ascii="Arial" w:cs="Arial" w:eastAsia="Arial" w:hAnsi="Arial"/>
                <w:b/>
                <w:bCs/>
                <w:i/>
                <w:iCs/>
                <w:color w:val="888888"/>
                <w:sz w:val="22"/>
                <w:szCs w:val="22"/>
              </w:rPr>
              <w:t xml:space="preserve">[EARLY ADOPTER DEADLINE DATE]</w:t>
            </w:r>
          </w:p>
        </w:tc>
      </w:tr>
    </w:tbl>
    <w:p>
      <w:r>
        <w:t xml:space="preserve"/>
      </w:r>
    </w:p>
    <w:p>
      <w:pPr>
        <w:spacing w:after="120"/>
      </w:pPr>
      <w:r>
        <w:rPr>
          <w:rFonts w:ascii="Arial" w:cs="Arial" w:eastAsia="Arial" w:hAnsi="Arial"/>
          <w:b/>
          <w:bCs/>
          <w:sz w:val="24"/>
          <w:szCs w:val="24"/>
        </w:rPr>
        <w:t xml:space="preserve">Early Adopter Platform Fee Discount</w:t>
      </w:r>
    </w:p>
    <w:p>
      <w:r>
        <w:t xml:space="preserve"/>
      </w:r>
    </w:p>
    <w:p>
      <w:pPr>
        <w:spacing w:after="120"/>
      </w:pPr>
      <w:r>
        <w:rPr>
          <w:rFonts w:ascii="Arial" w:cs="Arial" w:eastAsia="Arial" w:hAnsi="Arial"/>
          <w:sz w:val="22"/>
          <w:szCs w:val="22"/>
        </w:rPr>
        <w:t xml:space="preserve">In consideration of Partner's early commitment to the Platform, Licensor agrees to apply a ten percent (10%) discount to the Monthly Platform Fee for the lifetime of Partner's account, subject to the conditions set forth below.</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Tier</w:t>
            </w:r>
          </w:p>
        </w:tc>
        <w:tc>
          <w:tcPr>
            <w:tcW w:type="dxa" w:w="312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Standard Platform Fee</w:t>
            </w:r>
          </w:p>
        </w:tc>
        <w:tc>
          <w:tcPr>
            <w:tcW w:type="dxa" w:w="3120"/>
            <w:tcBorders>
              <w:top w:val="single" w:color="CCCCCC" w:sz="1"/>
              <w:left w:val="single" w:color="CCCCCC" w:sz="1"/>
              <w:bottom w:val="single" w:color="CCCCCC" w:sz="1"/>
              <w:right w:val="single" w:color="CCCCCC" w:sz="1"/>
            </w:tcBorders>
            <w:shd w:fill="1F4E79" w:val="clear"/>
            <w:tcMar>
              <w:top w:type="dxa" w:w="100"/>
              <w:left w:type="dxa" w:w="140"/>
              <w:bottom w:type="dxa" w:w="100"/>
              <w:right w:type="dxa" w:w="140"/>
            </w:tcMar>
          </w:tcPr>
          <w:p>
            <w:r>
              <w:rPr>
                <w:rFonts w:ascii="Arial" w:cs="Arial" w:eastAsia="Arial" w:hAnsi="Arial"/>
                <w:b/>
                <w:bCs/>
                <w:color w:val="FFFFFF"/>
                <w:sz w:val="20"/>
                <w:szCs w:val="20"/>
              </w:rPr>
              <w:t xml:space="preserve">Early Adopter Fee</w:t>
            </w:r>
          </w:p>
        </w:tc>
      </w:tr>
      <w:tr>
        <w:tc>
          <w:tcPr>
            <w:tcW w:type="dxa" w:w="3120"/>
            <w:tcBorders>
              <w:top w:val="single" w:color="CCCCCC" w:sz="1"/>
              <w:left w:val="single" w:color="CCCCCC" w:sz="1"/>
              <w:bottom w:val="single" w:color="CCCCCC" w:sz="1"/>
              <w:right w:val="single" w:color="CCCCCC" w:sz="1"/>
            </w:tcBorders>
            <w:shd w:fill="EBF2FA" w:val="clear"/>
            <w:tcMar>
              <w:top w:type="dxa" w:w="100"/>
              <w:left w:type="dxa" w:w="140"/>
              <w:bottom w:type="dxa" w:w="100"/>
              <w:right w:type="dxa" w:w="140"/>
            </w:tcMar>
          </w:tcPr>
          <w:p>
            <w:r>
              <w:rPr>
                <w:rFonts w:ascii="Arial" w:cs="Arial" w:eastAsia="Arial" w:hAnsi="Arial"/>
                <w:b/>
                <w:bCs/>
                <w:sz w:val="22"/>
                <w:szCs w:val="22"/>
              </w:rPr>
              <w:t xml:space="preserve">Starter</w:t>
            </w:r>
          </w:p>
        </w:tc>
        <w:tc>
          <w:tcPr>
            <w:tcW w:type="dxa" w:w="312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2"/>
                <w:szCs w:val="22"/>
              </w:rPr>
              <w:t xml:space="preserve">$319/month</w:t>
            </w:r>
          </w:p>
        </w:tc>
        <w:tc>
          <w:tcPr>
            <w:tcW w:type="dxa" w:w="3120"/>
            <w:tcBorders>
              <w:top w:val="single" w:color="CCCCCC" w:sz="1"/>
              <w:left w:val="single" w:color="CCCCCC" w:sz="1"/>
              <w:bottom w:val="single" w:color="CCCCCC" w:sz="1"/>
              <w:right w:val="single" w:color="CCCCCC" w:sz="1"/>
            </w:tcBorders>
            <w:shd w:fill="EDF7ED" w:val="clear"/>
            <w:tcMar>
              <w:top w:type="dxa" w:w="100"/>
              <w:left w:type="dxa" w:w="140"/>
              <w:bottom w:type="dxa" w:w="100"/>
              <w:right w:type="dxa" w:w="140"/>
            </w:tcMar>
          </w:tcPr>
          <w:p>
            <w:r>
              <w:rPr>
                <w:rFonts w:ascii="Arial" w:cs="Arial" w:eastAsia="Arial" w:hAnsi="Arial"/>
                <w:b/>
                <w:bCs/>
                <w:color w:val="107C10"/>
                <w:sz w:val="22"/>
                <w:szCs w:val="22"/>
              </w:rPr>
              <w:t xml:space="preserve">$287.10/month</w:t>
            </w:r>
          </w:p>
        </w:tc>
      </w:tr>
      <w:tr>
        <w:tc>
          <w:tcPr>
            <w:tcW w:type="dxa" w:w="3120"/>
            <w:tcBorders>
              <w:top w:val="single" w:color="CCCCCC" w:sz="1"/>
              <w:left w:val="single" w:color="CCCCCC" w:sz="1"/>
              <w:bottom w:val="single" w:color="CCCCCC" w:sz="1"/>
              <w:right w:val="single" w:color="CCCCCC" w:sz="1"/>
            </w:tcBorders>
            <w:shd w:fill="EBF2FA" w:val="clear"/>
            <w:tcMar>
              <w:top w:type="dxa" w:w="100"/>
              <w:left w:type="dxa" w:w="140"/>
              <w:bottom w:type="dxa" w:w="100"/>
              <w:right w:type="dxa" w:w="140"/>
            </w:tcMar>
          </w:tcPr>
          <w:p>
            <w:r>
              <w:rPr>
                <w:rFonts w:ascii="Arial" w:cs="Arial" w:eastAsia="Arial" w:hAnsi="Arial"/>
                <w:b/>
                <w:bCs/>
                <w:sz w:val="22"/>
                <w:szCs w:val="22"/>
              </w:rPr>
              <w:t xml:space="preserve">Pro</w:t>
            </w:r>
          </w:p>
        </w:tc>
        <w:tc>
          <w:tcPr>
            <w:tcW w:type="dxa" w:w="312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2"/>
                <w:szCs w:val="22"/>
              </w:rPr>
              <w:t xml:space="preserve">$749/month</w:t>
            </w:r>
          </w:p>
        </w:tc>
        <w:tc>
          <w:tcPr>
            <w:tcW w:type="dxa" w:w="3120"/>
            <w:tcBorders>
              <w:top w:val="single" w:color="CCCCCC" w:sz="1"/>
              <w:left w:val="single" w:color="CCCCCC" w:sz="1"/>
              <w:bottom w:val="single" w:color="CCCCCC" w:sz="1"/>
              <w:right w:val="single" w:color="CCCCCC" w:sz="1"/>
            </w:tcBorders>
            <w:shd w:fill="EDF7ED" w:val="clear"/>
            <w:tcMar>
              <w:top w:type="dxa" w:w="100"/>
              <w:left w:type="dxa" w:w="140"/>
              <w:bottom w:type="dxa" w:w="100"/>
              <w:right w:type="dxa" w:w="140"/>
            </w:tcMar>
          </w:tcPr>
          <w:p>
            <w:r>
              <w:rPr>
                <w:rFonts w:ascii="Arial" w:cs="Arial" w:eastAsia="Arial" w:hAnsi="Arial"/>
                <w:b/>
                <w:bCs/>
                <w:color w:val="107C10"/>
                <w:sz w:val="22"/>
                <w:szCs w:val="22"/>
              </w:rPr>
              <w:t xml:space="preserve">$674.10/month</w:t>
            </w:r>
          </w:p>
        </w:tc>
      </w:tr>
      <w:tr>
        <w:tc>
          <w:tcPr>
            <w:tcW w:type="dxa" w:w="3120"/>
            <w:tcBorders>
              <w:top w:val="single" w:color="CCCCCC" w:sz="1"/>
              <w:left w:val="single" w:color="CCCCCC" w:sz="1"/>
              <w:bottom w:val="single" w:color="CCCCCC" w:sz="1"/>
              <w:right w:val="single" w:color="CCCCCC" w:sz="1"/>
            </w:tcBorders>
            <w:shd w:fill="EBF2FA" w:val="clear"/>
            <w:tcMar>
              <w:top w:type="dxa" w:w="100"/>
              <w:left w:type="dxa" w:w="140"/>
              <w:bottom w:type="dxa" w:w="100"/>
              <w:right w:type="dxa" w:w="140"/>
            </w:tcMar>
          </w:tcPr>
          <w:p>
            <w:r>
              <w:rPr>
                <w:rFonts w:ascii="Arial" w:cs="Arial" w:eastAsia="Arial" w:hAnsi="Arial"/>
                <w:b/>
                <w:bCs/>
                <w:sz w:val="22"/>
                <w:szCs w:val="22"/>
              </w:rPr>
              <w:t xml:space="preserve">Enterprise</w:t>
            </w:r>
          </w:p>
        </w:tc>
        <w:tc>
          <w:tcPr>
            <w:tcW w:type="dxa" w:w="312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sz w:val="22"/>
                <w:szCs w:val="22"/>
              </w:rPr>
              <w:t xml:space="preserve">$1,599/month</w:t>
            </w:r>
          </w:p>
        </w:tc>
        <w:tc>
          <w:tcPr>
            <w:tcW w:type="dxa" w:w="3120"/>
            <w:tcBorders>
              <w:top w:val="single" w:color="CCCCCC" w:sz="1"/>
              <w:left w:val="single" w:color="CCCCCC" w:sz="1"/>
              <w:bottom w:val="single" w:color="CCCCCC" w:sz="1"/>
              <w:right w:val="single" w:color="CCCCCC" w:sz="1"/>
            </w:tcBorders>
            <w:shd w:fill="EDF7ED" w:val="clear"/>
            <w:tcMar>
              <w:top w:type="dxa" w:w="100"/>
              <w:left w:type="dxa" w:w="140"/>
              <w:bottom w:type="dxa" w:w="100"/>
              <w:right w:type="dxa" w:w="140"/>
            </w:tcMar>
          </w:tcPr>
          <w:p>
            <w:r>
              <w:rPr>
                <w:rFonts w:ascii="Arial" w:cs="Arial" w:eastAsia="Arial" w:hAnsi="Arial"/>
                <w:b/>
                <w:bCs/>
                <w:color w:val="107C10"/>
                <w:sz w:val="22"/>
                <w:szCs w:val="22"/>
              </w:rPr>
              <w:t xml:space="preserve">$1,439.10/month</w:t>
            </w:r>
          </w:p>
        </w:tc>
      </w:tr>
    </w:tbl>
    <w:p>
      <w:r>
        <w:t xml:space="preserve"/>
      </w:r>
    </w:p>
    <w:p>
      <w:pPr>
        <w:spacing w:after="120"/>
      </w:pPr>
      <w:r>
        <w:rPr>
          <w:rFonts w:ascii="Arial" w:cs="Arial" w:eastAsia="Arial" w:hAnsi="Arial"/>
          <w:b/>
          <w:bCs/>
          <w:sz w:val="22"/>
          <w:szCs w:val="22"/>
        </w:rPr>
        <w:t xml:space="preserve">Conditions and Limitations</w:t>
      </w:r>
    </w:p>
    <w:p>
      <w:pPr>
        <w:pStyle w:val="ListParagraph"/>
        <w:numPr>
          <w:ilvl w:val="0"/>
          <w:numId w:val="2"/>
        </w:numPr>
        <w:spacing w:after="80"/>
      </w:pPr>
      <w:r>
        <w:rPr>
          <w:rFonts w:ascii="Arial" w:cs="Arial" w:eastAsia="Arial" w:hAnsi="Arial"/>
          <w:sz w:val="22"/>
          <w:szCs w:val="22"/>
        </w:rPr>
        <w:t xml:space="preserve">This discount applies to the Monthly Platform Fee only. The Setup Fee, Per-User Fees, and any other fees are not discounted.</w:t>
      </w:r>
    </w:p>
    <w:p>
      <w:pPr>
        <w:pStyle w:val="ListParagraph"/>
        <w:numPr>
          <w:ilvl w:val="0"/>
          <w:numId w:val="2"/>
        </w:numPr>
        <w:spacing w:after="80"/>
      </w:pPr>
      <w:r>
        <w:rPr>
          <w:rFonts w:ascii="Arial" w:cs="Arial" w:eastAsia="Arial" w:hAnsi="Arial"/>
          <w:sz w:val="22"/>
          <w:szCs w:val="22"/>
        </w:rPr>
        <w:t xml:space="preserve">The discount applies for the lifetime of Partner's account, provided the account remains continuously active and in good standing.</w:t>
      </w:r>
    </w:p>
    <w:p>
      <w:pPr>
        <w:pStyle w:val="ListParagraph"/>
        <w:numPr>
          <w:ilvl w:val="0"/>
          <w:numId w:val="2"/>
        </w:numPr>
        <w:spacing w:after="80"/>
      </w:pPr>
      <w:r>
        <w:rPr>
          <w:rFonts w:ascii="Arial" w:cs="Arial" w:eastAsia="Arial" w:hAnsi="Arial"/>
          <w:sz w:val="22"/>
          <w:szCs w:val="22"/>
        </w:rPr>
        <w:t xml:space="preserve">If Partner's account is suspended for non-payment and not cured within the cure period, or if this Agreement is terminated and later reinstated, the early adopter discount does not carry over.</w:t>
      </w:r>
    </w:p>
    <w:p>
      <w:pPr>
        <w:pStyle w:val="ListParagraph"/>
        <w:numPr>
          <w:ilvl w:val="0"/>
          <w:numId w:val="2"/>
        </w:numPr>
        <w:spacing w:after="80"/>
      </w:pPr>
      <w:r>
        <w:rPr>
          <w:rFonts w:ascii="Arial" w:cs="Arial" w:eastAsia="Arial" w:hAnsi="Arial"/>
          <w:sz w:val="22"/>
          <w:szCs w:val="22"/>
        </w:rPr>
        <w:t xml:space="preserve">If Partner upgrades to a higher tier, the 10% discount applies to the new tier's standard platform fee.</w:t>
      </w:r>
    </w:p>
    <w:p>
      <w:pPr>
        <w:pStyle w:val="ListParagraph"/>
        <w:numPr>
          <w:ilvl w:val="0"/>
          <w:numId w:val="2"/>
        </w:numPr>
        <w:spacing w:after="80"/>
      </w:pPr>
      <w:r>
        <w:rPr>
          <w:rFonts w:ascii="Arial" w:cs="Arial" w:eastAsia="Arial" w:hAnsi="Arial"/>
          <w:sz w:val="22"/>
          <w:szCs w:val="22"/>
        </w:rPr>
        <w:t xml:space="preserve">This discount is non-transferable and applies solely to this Partner.</w:t>
      </w:r>
    </w:p>
    <w:p>
      <w:r>
        <w:t xml:space="preserve"/>
      </w:r>
    </w:p>
    <w:p>
      <w:r>
        <w:t xml:space="preserve"/>
      </w:r>
    </w:p>
    <w:p>
      <w:pPr>
        <w:spacing w:after="120"/>
      </w:pPr>
      <w:r>
        <w:rPr>
          <w:rFonts w:ascii="Arial" w:cs="Arial" w:eastAsia="Arial" w:hAnsi="Arial"/>
          <w:b/>
          <w:bCs/>
          <w:sz w:val="24"/>
          <w:szCs w:val="24"/>
        </w:rPr>
        <w:t xml:space="preserve">Addendum Signatures</w:t>
      </w:r>
    </w:p>
    <w:p>
      <w:pPr>
        <w:spacing w:after="120"/>
      </w:pPr>
      <w:r>
        <w:rPr>
          <w:rFonts w:ascii="Arial" w:cs="Arial" w:eastAsia="Arial" w:hAnsi="Arial"/>
          <w:sz w:val="22"/>
          <w:szCs w:val="22"/>
        </w:rPr>
        <w:t xml:space="preserve">By initialing below, each party confirms that this Early Adopter Addendum is incorporated into the Partner Licensing Agreement and is binding on both parties.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480" w:after="80"/>
            </w:pPr>
            <w:r>
              <w:rPr>
                <w:rFonts w:ascii="Arial" w:cs="Arial" w:eastAsia="Arial" w:hAnsi="Arial"/>
                <w:color w:val="666666"/>
                <w:sz w:val="20"/>
                <w:szCs w:val="20"/>
              </w:rPr>
              <w:t xml:space="preserve">Licensor Initials:</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480" w:after="80"/>
            </w:pPr>
            <w:r>
              <w:rPr>
                <w:rFonts w:ascii="Arial" w:cs="Arial" w:eastAsia="Arial" w:hAnsi="Arial"/>
                <w:color w:val="666666"/>
                <w:sz w:val="20"/>
                <w:szCs w:val="20"/>
              </w:rPr>
              <w:t xml:space="preserve">Partner Initials:</w:t>
            </w:r>
          </w:p>
        </w:tc>
      </w:tr>
      <w:tr>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320" w:after="80"/>
            </w:pPr>
            <w:r>
              <w:rPr>
                <w:rFonts w:ascii="Arial" w:cs="Arial" w:eastAsia="Arial" w:hAnsi="Arial"/>
                <w:color w:val="666666"/>
                <w:sz w:val="20"/>
                <w:szCs w:val="20"/>
              </w:rPr>
              <w:t xml:space="preserve">Date:</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Mar>
              <w:top w:type="dxa" w:w="160"/>
              <w:left w:type="dxa" w:w="0"/>
              <w:bottom w:type="dxa" w:w="0"/>
              <w:right w:type="dxa" w:w="0"/>
            </w:tcMar>
          </w:tcPr>
          <w:p>
            <w:pPr>
              <w:pBdr>
                <w:bottom w:val="single" w:color="666666" w:sz="2"/>
              </w:pBdr>
              <w:spacing w:before="320" w:after="80"/>
            </w:pPr>
            <w:r>
              <w:rPr>
                <w:rFonts w:ascii="Arial" w:cs="Arial" w:eastAsia="Arial" w:hAnsi="Arial"/>
                <w:color w:val="666666"/>
                <w:sz w:val="20"/>
                <w:szCs w:val="20"/>
              </w:rPr>
              <w:t xml:space="preserve">Date:</w:t>
            </w:r>
          </w:p>
        </w:tc>
      </w:tr>
    </w:tbl>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2E75B6" w:sz="4" w:space="4"/>
      </w:pBdr>
      <w:spacing w:before="480" w:after="240"/>
      <w:outlineLvl w:val="0"/>
    </w:pPr>
    <w:rPr>
      <w:rFonts w:ascii="Arial" w:cs="Arial" w:eastAsia="Arial" w:hAnsi="Arial"/>
      <w:b/>
      <w:bCs/>
      <w:color w:val="1F4E79"/>
      <w:sz w:val="28"/>
      <w:szCs w:val="28"/>
    </w:rPr>
  </w:style>
  <w:style w:type="paragraph" w:styleId="Heading2">
    <w:name w:val="Heading 2"/>
    <w:basedOn w:val="Normal"/>
    <w:next w:val="Normal"/>
    <w:qFormat/>
    <w:pPr>
      <w:spacing w:before="300" w:after="16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2026-02-27T06:05:07.448Z</dcterms:created>
  <dcterms:modified xsi:type="dcterms:W3CDTF">2026-02-27T06:05:07.449Z</dcterms:modified>
</cp:coreProperties>
</file>

<file path=docProps/custom.xml><?xml version="1.0" encoding="utf-8"?>
<Properties xmlns="http://schemas.openxmlformats.org/officeDocument/2006/custom-properties" xmlns:vt="http://schemas.openxmlformats.org/officeDocument/2006/docPropsVTypes"/>
</file>